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D5268" w14:textId="77777777" w:rsidR="003570ED" w:rsidRDefault="003570ED" w:rsidP="003570ED">
      <w:pPr>
        <w:pStyle w:val="Standard"/>
        <w:spacing w:line="240" w:lineRule="auto"/>
        <w:jc w:val="center"/>
      </w:pPr>
      <w:r>
        <w:rPr>
          <w:color w:val="007FAB"/>
          <w:sz w:val="12"/>
          <w:szCs w:val="12"/>
        </w:rPr>
        <w:t>Meat Science 139 (2018) 49–55</w:t>
      </w:r>
    </w:p>
    <w:p w14:paraId="069F3CD9" w14:textId="77777777" w:rsidR="003570ED" w:rsidRDefault="003570ED" w:rsidP="003570ED">
      <w:pPr>
        <w:pStyle w:val="Standard"/>
        <w:spacing w:before="337" w:line="240" w:lineRule="auto"/>
        <w:jc w:val="center"/>
      </w:pPr>
      <w:r>
        <w:rPr>
          <w:color w:val="000000"/>
          <w:sz w:val="15"/>
          <w:szCs w:val="15"/>
        </w:rPr>
        <w:t xml:space="preserve">Contents lists available at </w:t>
      </w:r>
      <w:r>
        <w:rPr>
          <w:color w:val="287CA5"/>
          <w:sz w:val="15"/>
          <w:szCs w:val="15"/>
        </w:rPr>
        <w:t xml:space="preserve">ScienceDirect </w:t>
      </w:r>
      <w:r>
        <w:rPr>
          <w:noProof/>
        </w:rPr>
        <w:drawing>
          <wp:anchor distT="0" distB="0" distL="114300" distR="114300" simplePos="0" relativeHeight="251659264" behindDoc="0" locked="0" layoutInCell="1" allowOverlap="1" wp14:anchorId="136C81FF" wp14:editId="44C3DB1E">
            <wp:simplePos x="0" y="0"/>
            <wp:positionH relativeFrom="column">
              <wp:posOffset>19110</wp:posOffset>
            </wp:positionH>
            <wp:positionV relativeFrom="paragraph">
              <wp:posOffset>30632</wp:posOffset>
            </wp:positionV>
            <wp:extent cx="756391" cy="827989"/>
            <wp:effectExtent l="0" t="0" r="5609" b="0"/>
            <wp:wrapSquare wrapText="right"/>
            <wp:docPr id="1" name="image3.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756391" cy="827989"/>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28B9F2AE" wp14:editId="009FBC74">
            <wp:simplePos x="0" y="0"/>
            <wp:positionH relativeFrom="column">
              <wp:posOffset>3480480</wp:posOffset>
            </wp:positionH>
            <wp:positionV relativeFrom="paragraph">
              <wp:posOffset>-44988</wp:posOffset>
            </wp:positionV>
            <wp:extent cx="719267" cy="907907"/>
            <wp:effectExtent l="0" t="0" r="4633" b="6493"/>
            <wp:wrapSquare wrapText="left"/>
            <wp:docPr id="2" name="image4.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lum/>
                      <a:alphaModFix/>
                    </a:blip>
                    <a:srcRect/>
                    <a:stretch>
                      <a:fillRect/>
                    </a:stretch>
                  </pic:blipFill>
                  <pic:spPr>
                    <a:xfrm>
                      <a:off x="0" y="0"/>
                      <a:ext cx="719267" cy="907907"/>
                    </a:xfrm>
                    <a:prstGeom prst="rect">
                      <a:avLst/>
                    </a:prstGeom>
                    <a:noFill/>
                    <a:ln>
                      <a:noFill/>
                      <a:prstDash/>
                    </a:ln>
                  </pic:spPr>
                </pic:pic>
              </a:graphicData>
            </a:graphic>
          </wp:anchor>
        </w:drawing>
      </w:r>
    </w:p>
    <w:p w14:paraId="25EDF4E0" w14:textId="77777777" w:rsidR="003570ED" w:rsidRDefault="003570ED" w:rsidP="003570ED">
      <w:pPr>
        <w:pStyle w:val="Standard"/>
        <w:spacing w:before="293" w:line="240" w:lineRule="auto"/>
        <w:jc w:val="center"/>
      </w:pPr>
      <w:r>
        <w:rPr>
          <w:color w:val="000000"/>
          <w:sz w:val="27"/>
          <w:szCs w:val="27"/>
        </w:rPr>
        <w:t>Meat Science</w:t>
      </w:r>
    </w:p>
    <w:p w14:paraId="34D7F703" w14:textId="77777777" w:rsidR="003570ED" w:rsidRDefault="003570ED" w:rsidP="003570ED">
      <w:pPr>
        <w:pStyle w:val="Standard"/>
        <w:spacing w:before="312" w:line="240" w:lineRule="auto"/>
        <w:jc w:val="center"/>
      </w:pPr>
      <w:r>
        <w:rPr>
          <w:color w:val="000000"/>
          <w:sz w:val="15"/>
          <w:szCs w:val="15"/>
        </w:rPr>
        <w:t xml:space="preserve">journal homepage: </w:t>
      </w:r>
      <w:r>
        <w:rPr>
          <w:color w:val="287CA5"/>
          <w:sz w:val="15"/>
          <w:szCs w:val="15"/>
        </w:rPr>
        <w:t>www.elsevier.com/locate/meatsci</w:t>
      </w:r>
    </w:p>
    <w:p w14:paraId="5C2C0C6C" w14:textId="77777777" w:rsidR="003570ED" w:rsidRDefault="003570ED" w:rsidP="003570ED">
      <w:pPr>
        <w:pStyle w:val="Standard"/>
        <w:spacing w:before="746" w:line="240" w:lineRule="auto"/>
        <w:ind w:left="9399" w:right="922" w:hanging="9384"/>
      </w:pPr>
      <w:r>
        <w:rPr>
          <w:color w:val="000000"/>
          <w:sz w:val="26"/>
          <w:szCs w:val="26"/>
        </w:rPr>
        <w:t xml:space="preserve">Effect of deboning time on the growth of Salmonella, E. coli, aerobic, and </w:t>
      </w:r>
      <w:r>
        <w:rPr>
          <w:color w:val="000000"/>
          <w:sz w:val="16"/>
          <w:szCs w:val="16"/>
        </w:rPr>
        <w:t>T</w:t>
      </w:r>
    </w:p>
    <w:p w14:paraId="20E57F60" w14:textId="77777777" w:rsidR="003570ED" w:rsidRDefault="003570ED" w:rsidP="003570ED">
      <w:pPr>
        <w:pStyle w:val="Standard"/>
        <w:spacing w:line="240" w:lineRule="auto"/>
        <w:ind w:left="13"/>
      </w:pPr>
      <w:r>
        <w:rPr>
          <w:color w:val="000000"/>
          <w:sz w:val="26"/>
          <w:szCs w:val="26"/>
        </w:rPr>
        <w:t>lactic acid bacteria during beef sausage processing and storage</w:t>
      </w:r>
    </w:p>
    <w:p w14:paraId="1F544E2F" w14:textId="77777777" w:rsidR="003570ED" w:rsidRDefault="003570ED" w:rsidP="003570ED">
      <w:pPr>
        <w:pStyle w:val="Standard"/>
        <w:spacing w:before="150" w:line="204" w:lineRule="auto"/>
        <w:ind w:left="10" w:right="2076" w:hanging="2"/>
      </w:pPr>
      <w:r>
        <w:rPr>
          <w:color w:val="000000"/>
          <w:sz w:val="21"/>
          <w:szCs w:val="21"/>
        </w:rPr>
        <w:t>Anuraj T. Sukumaran</w:t>
      </w:r>
      <w:r>
        <w:rPr>
          <w:color w:val="287CA5"/>
          <w:sz w:val="24"/>
          <w:szCs w:val="24"/>
          <w:vertAlign w:val="superscript"/>
        </w:rPr>
        <w:t>a</w:t>
      </w:r>
      <w:r>
        <w:rPr>
          <w:color w:val="000000"/>
          <w:sz w:val="21"/>
          <w:szCs w:val="21"/>
        </w:rPr>
        <w:t>, Alexander J. Holtcamp</w:t>
      </w:r>
      <w:r>
        <w:rPr>
          <w:color w:val="287CA5"/>
          <w:sz w:val="24"/>
          <w:szCs w:val="24"/>
          <w:vertAlign w:val="superscript"/>
        </w:rPr>
        <w:t>a</w:t>
      </w:r>
      <w:r>
        <w:rPr>
          <w:color w:val="000000"/>
          <w:sz w:val="21"/>
          <w:szCs w:val="21"/>
        </w:rPr>
        <w:t>, April K. Englishbey</w:t>
      </w:r>
      <w:r>
        <w:rPr>
          <w:color w:val="287CA5"/>
          <w:sz w:val="24"/>
          <w:szCs w:val="24"/>
          <w:vertAlign w:val="superscript"/>
        </w:rPr>
        <w:t>d</w:t>
      </w:r>
      <w:r>
        <w:rPr>
          <w:color w:val="000000"/>
          <w:sz w:val="21"/>
          <w:szCs w:val="21"/>
        </w:rPr>
        <w:t>, Yan L. Campbell</w:t>
      </w:r>
      <w:r>
        <w:rPr>
          <w:color w:val="287CA5"/>
          <w:sz w:val="24"/>
          <w:szCs w:val="24"/>
          <w:vertAlign w:val="superscript"/>
        </w:rPr>
        <w:t>b</w:t>
      </w:r>
      <w:r>
        <w:rPr>
          <w:color w:val="000000"/>
          <w:sz w:val="21"/>
          <w:szCs w:val="21"/>
        </w:rPr>
        <w:t>, Taejo Kim</w:t>
      </w:r>
      <w:r>
        <w:rPr>
          <w:color w:val="287CA5"/>
          <w:sz w:val="24"/>
          <w:szCs w:val="24"/>
          <w:vertAlign w:val="superscript"/>
        </w:rPr>
        <w:t>c</w:t>
      </w:r>
      <w:r>
        <w:rPr>
          <w:color w:val="000000"/>
          <w:sz w:val="21"/>
          <w:szCs w:val="21"/>
        </w:rPr>
        <w:t>, Mark W. Schilling</w:t>
      </w:r>
      <w:r>
        <w:rPr>
          <w:color w:val="287CA5"/>
          <w:sz w:val="24"/>
          <w:szCs w:val="24"/>
          <w:vertAlign w:val="superscript"/>
        </w:rPr>
        <w:t>b</w:t>
      </w:r>
      <w:r>
        <w:rPr>
          <w:color w:val="000000"/>
          <w:sz w:val="21"/>
          <w:szCs w:val="21"/>
        </w:rPr>
        <w:t>, Thu T.N. Dinh</w:t>
      </w:r>
      <w:r>
        <w:rPr>
          <w:color w:val="287CA5"/>
          <w:sz w:val="41"/>
          <w:szCs w:val="41"/>
          <w:vertAlign w:val="superscript"/>
        </w:rPr>
        <w:t>a</w:t>
      </w:r>
      <w:r>
        <w:rPr>
          <w:color w:val="000000"/>
          <w:sz w:val="41"/>
          <w:szCs w:val="41"/>
          <w:vertAlign w:val="superscript"/>
        </w:rPr>
        <w:t>,</w:t>
      </w:r>
      <w:r>
        <w:rPr>
          <w:color w:val="287CA5"/>
          <w:sz w:val="14"/>
          <w:szCs w:val="14"/>
        </w:rPr>
        <w:t>⁎</w:t>
      </w:r>
    </w:p>
    <w:p w14:paraId="00481F6B" w14:textId="77777777" w:rsidR="003570ED" w:rsidRDefault="003570ED" w:rsidP="003570ED">
      <w:pPr>
        <w:pStyle w:val="Standard"/>
        <w:spacing w:before="131" w:line="240" w:lineRule="auto"/>
        <w:ind w:left="11"/>
      </w:pPr>
      <w:r>
        <w:rPr>
          <w:color w:val="000000"/>
          <w:sz w:val="17"/>
          <w:szCs w:val="17"/>
          <w:vertAlign w:val="superscript"/>
        </w:rPr>
        <w:t>a</w:t>
      </w:r>
      <w:r>
        <w:rPr>
          <w:color w:val="000000"/>
          <w:sz w:val="12"/>
          <w:szCs w:val="12"/>
        </w:rPr>
        <w:t>Animal and Dairy Sciences, Mississippi State University, Mississippi State, MS, United States</w:t>
      </w:r>
    </w:p>
    <w:p w14:paraId="69EA0424" w14:textId="77777777" w:rsidR="003570ED" w:rsidRDefault="003570ED" w:rsidP="003570ED">
      <w:pPr>
        <w:pStyle w:val="Standard"/>
        <w:spacing w:line="240" w:lineRule="auto"/>
        <w:ind w:left="8"/>
      </w:pPr>
      <w:r>
        <w:rPr>
          <w:color w:val="000000"/>
          <w:sz w:val="17"/>
          <w:szCs w:val="17"/>
          <w:vertAlign w:val="superscript"/>
        </w:rPr>
        <w:t xml:space="preserve">b </w:t>
      </w:r>
      <w:r>
        <w:rPr>
          <w:color w:val="000000"/>
          <w:sz w:val="12"/>
          <w:szCs w:val="12"/>
        </w:rPr>
        <w:t>Food Science, Nutrition, and Health Promotion, Mississippi State University, Mississippi State, MS, United States</w:t>
      </w:r>
    </w:p>
    <w:p w14:paraId="51ADC2BA" w14:textId="77777777" w:rsidR="003570ED" w:rsidRDefault="003570ED" w:rsidP="003570ED">
      <w:pPr>
        <w:pStyle w:val="Standard"/>
        <w:spacing w:line="240" w:lineRule="auto"/>
        <w:ind w:left="11"/>
      </w:pPr>
      <w:r>
        <w:rPr>
          <w:color w:val="000000"/>
          <w:sz w:val="17"/>
          <w:szCs w:val="17"/>
          <w:vertAlign w:val="superscript"/>
        </w:rPr>
        <w:t>c</w:t>
      </w:r>
      <w:r>
        <w:rPr>
          <w:color w:val="000000"/>
          <w:sz w:val="12"/>
          <w:szCs w:val="12"/>
        </w:rPr>
        <w:t>Food and Nutrition Department, University of Wisconsin- Stout, Menomonie, WI 54751, United States</w:t>
      </w:r>
    </w:p>
    <w:p w14:paraId="12144625" w14:textId="77777777" w:rsidR="003570ED" w:rsidRDefault="003570ED" w:rsidP="003570ED">
      <w:pPr>
        <w:pStyle w:val="Standard"/>
        <w:spacing w:line="240" w:lineRule="auto"/>
        <w:ind w:left="11"/>
      </w:pPr>
      <w:r>
        <w:rPr>
          <w:color w:val="000000"/>
          <w:sz w:val="17"/>
          <w:szCs w:val="17"/>
          <w:vertAlign w:val="superscript"/>
        </w:rPr>
        <w:t>d</w:t>
      </w:r>
      <w:r>
        <w:rPr>
          <w:color w:val="000000"/>
          <w:sz w:val="12"/>
          <w:szCs w:val="12"/>
        </w:rPr>
        <w:t>Animal and Food Sciences, Texas Tech University, Lubbock, TX 79409, United States</w:t>
      </w:r>
    </w:p>
    <w:p w14:paraId="2ED3B47C" w14:textId="77777777" w:rsidR="003570ED" w:rsidRDefault="003570ED" w:rsidP="003570ED">
      <w:pPr>
        <w:pStyle w:val="Standard"/>
        <w:spacing w:before="451" w:line="240" w:lineRule="auto"/>
        <w:ind w:left="3318"/>
      </w:pPr>
      <w:r>
        <w:rPr>
          <w:color w:val="000000"/>
          <w:sz w:val="17"/>
          <w:szCs w:val="17"/>
        </w:rPr>
        <w:t>ABSTRACT</w:t>
      </w:r>
    </w:p>
    <w:p w14:paraId="0ABFD7FC" w14:textId="77777777" w:rsidR="003570ED" w:rsidRDefault="003570ED" w:rsidP="003570ED">
      <w:pPr>
        <w:rPr>
          <w:rFonts w:cs="Mangal"/>
          <w:szCs w:val="20"/>
        </w:rPr>
        <w:sectPr w:rsidR="003570ED">
          <w:pgSz w:w="11906" w:h="15860"/>
          <w:pgMar w:top="711" w:right="742" w:bottom="554" w:left="745" w:header="720" w:footer="720" w:gutter="0"/>
          <w:pgNumType w:start="1"/>
          <w:cols w:space="720"/>
        </w:sectPr>
      </w:pPr>
    </w:p>
    <w:p w14:paraId="7CCD9757" w14:textId="77777777" w:rsidR="003570ED" w:rsidRDefault="003570ED" w:rsidP="003570ED">
      <w:pPr>
        <w:pStyle w:val="Standard"/>
        <w:spacing w:before="2609" w:line="240" w:lineRule="auto"/>
      </w:pPr>
      <w:r>
        <w:rPr>
          <w:color w:val="000000"/>
          <w:sz w:val="15"/>
          <w:szCs w:val="15"/>
        </w:rPr>
        <w:t>1. Introduction</w:t>
      </w:r>
    </w:p>
    <w:p w14:paraId="7633D8AB" w14:textId="77777777" w:rsidR="003570ED" w:rsidRDefault="003570ED" w:rsidP="003570ED">
      <w:pPr>
        <w:pStyle w:val="Standard"/>
        <w:spacing w:line="264" w:lineRule="auto"/>
      </w:pPr>
      <w:r>
        <w:rPr>
          <w:color w:val="000000"/>
          <w:sz w:val="14"/>
          <w:szCs w:val="14"/>
        </w:rPr>
        <w:t>The objective of the current study was to determine the effects of deboning time, three steps of sausage pro cessing (grinding, salting, and batter formulation), and storage time (of raw materials and cooked sausage) on the growth (log CFU/g) of aerobic bacteria, lactic acid bacteria, and inoculated Salmonella and E. coli. Beef deboning time did not influence bacterial counts (P ≥ 0.138). However, salting of raw ground beef resulted in a 0.4-log reduction in both aerobic plate count (APC) and Salmonella (P ≤ 0.001). Lactic acid bacteria were in creased from non-detectable concentration (0.54 log) on d 0 to 3.8 log on d 120 of vacuum storage (P ≤ 0.019). Salmonella counts were increased (P &lt; 0.001) over storage time (3.2 to 3.3 log CFU/g from d 0 to 10). Results indicated that salting and batter formulation had a greater impact on bacterial counts than rigor state of raw beef.</w:t>
      </w:r>
    </w:p>
    <w:p w14:paraId="3E0BFFE6" w14:textId="77777777" w:rsidR="003570ED" w:rsidRDefault="003570ED" w:rsidP="003570ED">
      <w:pPr>
        <w:pStyle w:val="Standard"/>
        <w:spacing w:before="2380" w:line="240" w:lineRule="auto"/>
      </w:pPr>
      <w:r>
        <w:rPr>
          <w:color w:val="287CA5"/>
          <w:sz w:val="15"/>
          <w:szCs w:val="15"/>
        </w:rPr>
        <w:t>Van Laack &amp; Smulders, 1989</w:t>
      </w:r>
      <w:r>
        <w:rPr>
          <w:color w:val="000000"/>
          <w:sz w:val="15"/>
          <w:szCs w:val="15"/>
        </w:rPr>
        <w:t>). Proliferation of enteric pathogens such</w:t>
      </w:r>
    </w:p>
    <w:p w14:paraId="6D64E40F" w14:textId="77777777" w:rsidR="003570ED" w:rsidRDefault="003570ED" w:rsidP="003570ED">
      <w:pPr>
        <w:pStyle w:val="Standard"/>
        <w:spacing w:before="22" w:line="240" w:lineRule="auto"/>
      </w:pPr>
      <w:r>
        <w:rPr>
          <w:color w:val="000000"/>
          <w:sz w:val="15"/>
          <w:szCs w:val="15"/>
        </w:rPr>
        <w:t>as Salmonella and E. coli is a potential risk during pre-rigor deboning</w:t>
      </w:r>
    </w:p>
    <w:p w14:paraId="528DF48E" w14:textId="77777777" w:rsidR="003570ED" w:rsidRDefault="003570ED" w:rsidP="003570ED">
      <w:pPr>
        <w:pStyle w:val="Standard"/>
        <w:spacing w:before="23" w:line="259" w:lineRule="auto"/>
        <w:ind w:left="1" w:right="190" w:firstLine="250"/>
        <w:jc w:val="both"/>
      </w:pPr>
      <w:r>
        <w:rPr>
          <w:color w:val="000000"/>
          <w:sz w:val="15"/>
          <w:szCs w:val="15"/>
        </w:rPr>
        <w:t xml:space="preserve">Meat that is deboned from the carcass early postmortem, when the muscles are still physiologically active with substantially high pH and </w:t>
      </w:r>
      <w:r>
        <w:rPr>
          <w:color w:val="000000"/>
          <w:sz w:val="15"/>
          <w:szCs w:val="15"/>
        </w:rPr>
        <w:t>available ATP and has not entered rigor mortis onset, is referred to as pre-rigor meat (</w:t>
      </w:r>
      <w:r>
        <w:rPr>
          <w:color w:val="287CA5"/>
          <w:sz w:val="15"/>
          <w:szCs w:val="15"/>
        </w:rPr>
        <w:t>Barbut, 2014; Claus, Jordan, Eigel, Marriott, &amp; Shaw, 1998; Claus, Wang, &amp; Marriott, 1997</w:t>
      </w:r>
      <w:r>
        <w:rPr>
          <w:color w:val="000000"/>
          <w:sz w:val="15"/>
          <w:szCs w:val="15"/>
        </w:rPr>
        <w:t>). Addition of salt to pre-rigor meat prevents further development of rigor, thus retains the pre-rigor func tionality of meat (</w:t>
      </w:r>
      <w:r>
        <w:rPr>
          <w:color w:val="287CA5"/>
          <w:sz w:val="15"/>
          <w:szCs w:val="15"/>
        </w:rPr>
        <w:t>Pisula &amp; Tyburcy, 1996</w:t>
      </w:r>
      <w:r>
        <w:rPr>
          <w:color w:val="000000"/>
          <w:sz w:val="15"/>
          <w:szCs w:val="15"/>
        </w:rPr>
        <w:t>). The economic benefit of pre-rigor deboning is to conserve space, electricity, and workforce (</w:t>
      </w:r>
      <w:r>
        <w:rPr>
          <w:color w:val="287CA5"/>
          <w:sz w:val="15"/>
          <w:szCs w:val="15"/>
        </w:rPr>
        <w:t>Pisula &amp; Tyburcy, 1996</w:t>
      </w:r>
      <w:r>
        <w:rPr>
          <w:color w:val="000000"/>
          <w:sz w:val="15"/>
          <w:szCs w:val="15"/>
        </w:rPr>
        <w:t xml:space="preserve">). </w:t>
      </w:r>
      <w:r>
        <w:rPr>
          <w:color w:val="287CA5"/>
          <w:sz w:val="15"/>
          <w:szCs w:val="15"/>
        </w:rPr>
        <w:t xml:space="preserve">Wang, Xu, and Zhou (2009) </w:t>
      </w:r>
      <w:r>
        <w:rPr>
          <w:color w:val="000000"/>
          <w:sz w:val="15"/>
          <w:szCs w:val="15"/>
        </w:rPr>
        <w:t>reported that sausage prepared from pre-rigor meat had a greater water-holding ca pacity, less total expressible juice (5% less), less purge loss (up to 1.4% less), and better texture than post-rigor sausage. However, pre-rigor meat is more commonly used for fresh pork sausage such as bratwurst (</w:t>
      </w:r>
      <w:r>
        <w:rPr>
          <w:color w:val="287CA5"/>
          <w:sz w:val="15"/>
          <w:szCs w:val="15"/>
        </w:rPr>
        <w:t>Claussen et al., 2017</w:t>
      </w:r>
      <w:r>
        <w:rPr>
          <w:color w:val="000000"/>
          <w:sz w:val="15"/>
          <w:szCs w:val="15"/>
        </w:rPr>
        <w:t>) than for cooked beef sausage, mostly because of logistic issues of beef harvest and deboning and safety concerns of E. coli (</w:t>
      </w:r>
      <w:r>
        <w:rPr>
          <w:color w:val="287CA5"/>
          <w:sz w:val="15"/>
          <w:szCs w:val="15"/>
        </w:rPr>
        <w:t>USDA/FSIS, 2017</w:t>
      </w:r>
      <w:r>
        <w:rPr>
          <w:color w:val="000000"/>
          <w:sz w:val="15"/>
          <w:szCs w:val="15"/>
        </w:rPr>
        <w:t>).</w:t>
      </w:r>
    </w:p>
    <w:p w14:paraId="2AEBD503" w14:textId="77777777" w:rsidR="003570ED" w:rsidRDefault="003570ED" w:rsidP="003570ED">
      <w:pPr>
        <w:pStyle w:val="Standard"/>
        <w:spacing w:before="8" w:line="259" w:lineRule="auto"/>
        <w:ind w:right="191" w:firstLine="252"/>
        <w:jc w:val="both"/>
      </w:pPr>
      <w:r>
        <w:rPr>
          <w:color w:val="000000"/>
          <w:sz w:val="15"/>
          <w:szCs w:val="15"/>
        </w:rPr>
        <w:t>Despite its economic and processing advantages, pre-rigor deboning has been adopted very cautiously by the meat industry because it is still uncertain whether pre-rigor deboning can ensure high standards of sanitary and safe meat (</w:t>
      </w:r>
      <w:r>
        <w:rPr>
          <w:color w:val="287CA5"/>
          <w:sz w:val="15"/>
          <w:szCs w:val="15"/>
        </w:rPr>
        <w:t>Reid, Fanning, Whyte, Kerry, &amp; Bolton, 2017;</w:t>
      </w:r>
    </w:p>
    <w:p w14:paraId="34579D5F" w14:textId="77777777" w:rsidR="003570ED" w:rsidRDefault="003570ED" w:rsidP="003570ED">
      <w:pPr>
        <w:pStyle w:val="Standard"/>
        <w:spacing w:before="463" w:line="240" w:lineRule="auto"/>
        <w:ind w:left="134"/>
      </w:pPr>
      <w:r>
        <w:rPr>
          <w:color w:val="000000"/>
          <w:sz w:val="17"/>
          <w:szCs w:val="17"/>
          <w:vertAlign w:val="superscript"/>
        </w:rPr>
        <w:t xml:space="preserve">⁎ </w:t>
      </w:r>
      <w:r>
        <w:rPr>
          <w:color w:val="000000"/>
          <w:sz w:val="12"/>
          <w:szCs w:val="12"/>
        </w:rPr>
        <w:t>Corresponding author.</w:t>
      </w:r>
    </w:p>
    <w:p w14:paraId="203D11B7" w14:textId="77777777" w:rsidR="003570ED" w:rsidRDefault="003570ED" w:rsidP="003570ED">
      <w:pPr>
        <w:pStyle w:val="Standard"/>
        <w:spacing w:before="16" w:line="240" w:lineRule="auto"/>
        <w:ind w:left="224"/>
      </w:pPr>
      <w:r>
        <w:rPr>
          <w:color w:val="000000"/>
          <w:sz w:val="12"/>
          <w:szCs w:val="12"/>
        </w:rPr>
        <w:t xml:space="preserve">E-mail address: </w:t>
      </w:r>
      <w:r>
        <w:rPr>
          <w:color w:val="287CA5"/>
          <w:sz w:val="12"/>
          <w:szCs w:val="12"/>
        </w:rPr>
        <w:t xml:space="preserve">thu.dinh@msstate.edu </w:t>
      </w:r>
      <w:r>
        <w:rPr>
          <w:color w:val="000000"/>
          <w:sz w:val="12"/>
          <w:szCs w:val="12"/>
        </w:rPr>
        <w:t>(T.T.N. Dinh).</w:t>
      </w:r>
    </w:p>
    <w:p w14:paraId="61DD68E7" w14:textId="77777777" w:rsidR="003570ED" w:rsidRDefault="003570ED" w:rsidP="003570ED">
      <w:pPr>
        <w:pStyle w:val="Standard"/>
        <w:spacing w:before="182" w:line="240" w:lineRule="auto"/>
      </w:pPr>
      <w:r>
        <w:rPr>
          <w:color w:val="287CA5"/>
          <w:sz w:val="12"/>
          <w:szCs w:val="12"/>
        </w:rPr>
        <w:t>https://doi.org/10.1016/j.meatsci.2018.01.012</w:t>
      </w:r>
    </w:p>
    <w:p w14:paraId="060E5471" w14:textId="77777777" w:rsidR="003570ED" w:rsidRDefault="003570ED" w:rsidP="003570ED">
      <w:pPr>
        <w:pStyle w:val="Standard"/>
        <w:spacing w:line="259" w:lineRule="auto"/>
        <w:ind w:left="157" w:right="30" w:firstLine="2"/>
        <w:jc w:val="both"/>
      </w:pPr>
      <w:r>
        <w:rPr>
          <w:color w:val="000000"/>
          <w:sz w:val="15"/>
          <w:szCs w:val="15"/>
        </w:rPr>
        <w:t>because carcass surface temperature is 15 to 20 °C immediately after slaughter, supporting the survival and growth of these pathogens (</w:t>
      </w:r>
      <w:r>
        <w:rPr>
          <w:color w:val="287CA5"/>
          <w:sz w:val="15"/>
          <w:szCs w:val="15"/>
        </w:rPr>
        <w:t>Lee, Fung, &amp; Kastner, 1985; Reid et al., 2017</w:t>
      </w:r>
      <w:r>
        <w:rPr>
          <w:color w:val="000000"/>
          <w:sz w:val="15"/>
          <w:szCs w:val="15"/>
        </w:rPr>
        <w:t>). The overall prevalence of Salmonella enterica in beef carcasses and ground beef across United States was up to 7.5 and 4.2%, respectively, 94.2% of which contained 2 log CFU/g or less (</w:t>
      </w:r>
      <w:r>
        <w:rPr>
          <w:color w:val="287CA5"/>
          <w:sz w:val="15"/>
          <w:szCs w:val="15"/>
        </w:rPr>
        <w:t>Bosilevac, Guerini, Kalchayanand, &amp; Koohmaraie, 2009; Rhoades, Duffy, &amp; Koutsoumanis, 2009</w:t>
      </w:r>
      <w:r>
        <w:rPr>
          <w:color w:val="000000"/>
          <w:sz w:val="15"/>
          <w:szCs w:val="15"/>
        </w:rPr>
        <w:t>). Moreover, beef is one of the major sources of &gt; 25% of all reported E. coli outbreaks and &gt; 40% of related illnesses. E. coli has long been used as an indicator of fecal contamination and the presence of pathogens (</w:t>
      </w:r>
      <w:r>
        <w:rPr>
          <w:color w:val="287CA5"/>
          <w:sz w:val="15"/>
          <w:szCs w:val="15"/>
        </w:rPr>
        <w:t>Scott et al., 2003</w:t>
      </w:r>
      <w:r>
        <w:rPr>
          <w:color w:val="000000"/>
          <w:sz w:val="15"/>
          <w:szCs w:val="15"/>
        </w:rPr>
        <w:t>) such as Salmonella in meat (</w:t>
      </w:r>
      <w:r>
        <w:rPr>
          <w:color w:val="287CA5"/>
          <w:sz w:val="15"/>
          <w:szCs w:val="15"/>
        </w:rPr>
        <w:t>McCain et al., 2015</w:t>
      </w:r>
      <w:r>
        <w:rPr>
          <w:color w:val="000000"/>
          <w:sz w:val="15"/>
          <w:szCs w:val="15"/>
        </w:rPr>
        <w:t>). In addition, the growth of lactic acid and saccharolytic bacteria occurs rapidly in pre-rigor beef, especially with slow chilling rate (</w:t>
      </w:r>
      <w:r>
        <w:rPr>
          <w:color w:val="287CA5"/>
          <w:sz w:val="15"/>
          <w:szCs w:val="15"/>
        </w:rPr>
        <w:t>Lee et al., 1985; Smulders &amp; Woolthuis, 1985</w:t>
      </w:r>
      <w:r>
        <w:rPr>
          <w:color w:val="000000"/>
          <w:sz w:val="15"/>
          <w:szCs w:val="15"/>
        </w:rPr>
        <w:t>). During sausage production, grinding, salting, and batter formulation are the key processing steps, substantially altering characteristics of raw materials and cooked sausage (</w:t>
      </w:r>
      <w:r>
        <w:rPr>
          <w:color w:val="287CA5"/>
          <w:sz w:val="15"/>
          <w:szCs w:val="15"/>
        </w:rPr>
        <w:t>Noor, Radhakrishnan, &amp; Hussain, 2016</w:t>
      </w:r>
      <w:r>
        <w:rPr>
          <w:color w:val="000000"/>
          <w:sz w:val="15"/>
          <w:szCs w:val="15"/>
        </w:rPr>
        <w:t>). They are points of contamination, but they also serve as critical control points for microbial interventions (</w:t>
      </w:r>
      <w:r>
        <w:rPr>
          <w:color w:val="287CA5"/>
          <w:sz w:val="15"/>
          <w:szCs w:val="15"/>
        </w:rPr>
        <w:t>Noor et al., 2016</w:t>
      </w:r>
      <w:r>
        <w:rPr>
          <w:color w:val="000000"/>
          <w:sz w:val="15"/>
          <w:szCs w:val="15"/>
        </w:rPr>
        <w:t>).</w:t>
      </w:r>
    </w:p>
    <w:p w14:paraId="6ECA2374" w14:textId="77777777" w:rsidR="003570ED" w:rsidRDefault="003570ED" w:rsidP="003570ED">
      <w:pPr>
        <w:pStyle w:val="Standard"/>
        <w:spacing w:before="7" w:line="240" w:lineRule="auto"/>
        <w:ind w:right="46"/>
        <w:jc w:val="right"/>
      </w:pPr>
      <w:r>
        <w:rPr>
          <w:color w:val="000000"/>
          <w:sz w:val="15"/>
          <w:szCs w:val="15"/>
        </w:rPr>
        <w:t>Hence, the objective of the current study was to determine the</w:t>
      </w:r>
    </w:p>
    <w:p w14:paraId="5BBF0004"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4970826D" w14:textId="77777777" w:rsidR="003570ED" w:rsidRDefault="003570ED" w:rsidP="003570ED">
      <w:pPr>
        <w:pStyle w:val="Standard"/>
        <w:spacing w:before="1185" w:line="264" w:lineRule="auto"/>
        <w:ind w:left="7" w:right="4646" w:firstLine="3"/>
      </w:pPr>
      <w:r>
        <w:rPr>
          <w:color w:val="000000"/>
          <w:sz w:val="12"/>
          <w:szCs w:val="12"/>
        </w:rPr>
        <w:lastRenderedPageBreak/>
        <w:t>Received 30 November 2017; Received in revised form 12 January 2018; Accepted 14 January 2018 Available online 17 January 2018</w:t>
      </w:r>
    </w:p>
    <w:p w14:paraId="7C487BCA" w14:textId="77777777" w:rsidR="003570ED" w:rsidRDefault="003570ED" w:rsidP="003570ED">
      <w:pPr>
        <w:pStyle w:val="Standard"/>
        <w:spacing w:before="8" w:line="240" w:lineRule="auto"/>
        <w:ind w:left="11"/>
      </w:pPr>
      <w:r>
        <w:rPr>
          <w:color w:val="000000"/>
          <w:sz w:val="12"/>
          <w:szCs w:val="12"/>
        </w:rPr>
        <w:t>0309-1740/ Published by Elsevier Ltd.</w:t>
      </w:r>
    </w:p>
    <w:p w14:paraId="03C1FFAE" w14:textId="77777777" w:rsidR="003570ED" w:rsidRDefault="003570ED" w:rsidP="003570ED">
      <w:pPr>
        <w:pStyle w:val="Standard"/>
        <w:spacing w:line="240" w:lineRule="auto"/>
        <w:jc w:val="center"/>
      </w:pPr>
      <w:r>
        <w:rPr>
          <w:color w:val="000000"/>
          <w:sz w:val="12"/>
          <w:szCs w:val="12"/>
        </w:rPr>
        <w:t xml:space="preserve">A.T. Sukumaran et al. </w:t>
      </w:r>
      <w:r>
        <w:rPr>
          <w:i/>
          <w:color w:val="000000"/>
          <w:sz w:val="12"/>
          <w:szCs w:val="12"/>
        </w:rPr>
        <w:t>Meat Science 139 (2018) 49–55</w:t>
      </w:r>
    </w:p>
    <w:p w14:paraId="447A5D19"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25526C57" w14:textId="77777777" w:rsidR="003570ED" w:rsidRDefault="003570ED" w:rsidP="003570ED">
      <w:pPr>
        <w:pStyle w:val="Standard"/>
        <w:spacing w:before="282" w:line="259" w:lineRule="auto"/>
        <w:ind w:left="6" w:right="201" w:firstLine="2"/>
        <w:jc w:val="both"/>
      </w:pPr>
      <w:r>
        <w:rPr>
          <w:color w:val="000000"/>
          <w:sz w:val="15"/>
          <w:szCs w:val="15"/>
        </w:rPr>
        <w:t>effects of deboning time (pre- or post-rigor), three steps of sausage processing (grinding, salting, and batter formulation), and storage time (of raw materials and cooked sausage) on the growth of aerobic bac teria, lactic acid bacteria, and inoculated Salmonella and E. coli.</w:t>
      </w:r>
    </w:p>
    <w:p w14:paraId="6612FA6E" w14:textId="77777777" w:rsidR="003570ED" w:rsidRDefault="003570ED" w:rsidP="003570ED">
      <w:pPr>
        <w:pStyle w:val="Standard"/>
        <w:spacing w:before="217" w:line="240" w:lineRule="auto"/>
        <w:ind w:left="9"/>
      </w:pPr>
      <w:r>
        <w:rPr>
          <w:color w:val="000000"/>
          <w:sz w:val="15"/>
          <w:szCs w:val="15"/>
        </w:rPr>
        <w:t>2. Materials and methods</w:t>
      </w:r>
    </w:p>
    <w:p w14:paraId="011E29FA" w14:textId="77777777" w:rsidR="003570ED" w:rsidRDefault="003570ED" w:rsidP="003570ED">
      <w:pPr>
        <w:pStyle w:val="Standard"/>
        <w:spacing w:before="232" w:line="240" w:lineRule="auto"/>
      </w:pPr>
      <w:r>
        <w:rPr>
          <w:color w:val="000000"/>
          <w:sz w:val="15"/>
          <w:szCs w:val="15"/>
        </w:rPr>
        <w:t>2.1. Experimental design and treatment application</w:t>
      </w:r>
    </w:p>
    <w:p w14:paraId="7D3D1164" w14:textId="77777777" w:rsidR="003570ED" w:rsidRDefault="003570ED" w:rsidP="003570ED">
      <w:pPr>
        <w:pStyle w:val="Standard"/>
        <w:spacing w:before="232" w:line="256" w:lineRule="auto"/>
        <w:ind w:left="4" w:right="186" w:firstLine="251"/>
        <w:jc w:val="both"/>
      </w:pPr>
      <w:r>
        <w:rPr>
          <w:color w:val="000000"/>
          <w:sz w:val="15"/>
          <w:szCs w:val="15"/>
        </w:rPr>
        <w:t xml:space="preserve">Five 24-month old Holstein steers were slaughtered in the federally inspected Mississippi Meat Science and Muscle Biology Laboratory. Carcasses were decontaminated by 80 °C hot-water wash and 3% acetic acid spray, an approved HACCP measure. The left chuck primals were deboned and lean trimming was ground to 1.27-cm particle size, and salted (1.5% w/w) using a 50-lb capacity paddle mixer within 2 h post mortem (pre-rigor treatment). Pre-rigor beef lean trimming was then immediately chilled to 2 °C by mixing with dry ice (crushed powder; 15% w/w; </w:t>
      </w:r>
      <w:r>
        <w:rPr>
          <w:color w:val="287CA5"/>
          <w:sz w:val="15"/>
          <w:szCs w:val="15"/>
        </w:rPr>
        <w:t>Sorheim, Uglem, Lea, Claus, &amp; Egelandsdal, 2006</w:t>
      </w:r>
      <w:r>
        <w:rPr>
          <w:color w:val="000000"/>
          <w:sz w:val="15"/>
          <w:szCs w:val="15"/>
        </w:rPr>
        <w:t>), covered, and stored aerobically in plastics lugs at 2 °C. The right chuck primals remained on the carcasses and were deboned at 72 h post-mortem (post-rigor treatment). Lean trimming was cubed and stored aerobically at 4 °C until sausage processing without immediate salting. Post-rigor lean trimming was ground to a 1.27-cm particle size on the same day of sausage processing. Salting of post-rigor meat was performed after 1.27- cm grinding, however, before and separately from batter formulation for the purpose of sampling post-rigor salted beef. During deboning, fat trimming was collected from beef briskets, chucks, rounds, and plates on the same beef sides, separated from lean trimming, and processed similarly to lean trimming of the same treatment. Ground beef (ap proximately 50 lbs. of lean and 20 lbs. of fat trimming) was processed into sausage batter (approximately 50-lb batches) at 6 d post-mortem. Lean and fat trimmings were ground separately through 0.16-cm plate and mixed with ingredients. Fat and lean were then blended together and ground again through 0.16-cm plate. Sausage batter was produced using a proprietary formula including beef bratwurst spice mix, water/ ice slurry, corn syrup, erythorbate, nitrite, salt, and 0.25% (w/w) so dium tripolyphosphate. Antimicrobials (lactate and diacetate salts) were omitted. The sausage batter was stuffed into 32-mm synthetic collagen casings, tied into 15.2-cm links, and cooked by a generic smoked sausage cook cycle (pre-drying, smoking, steaming, and shower) to a core temperature of 74 °C. Cooked sausage was chilled for 24 h, vacuum-packaged (oxygen transmission rate of 3 to 6 mL per m</w:t>
      </w:r>
      <w:r>
        <w:rPr>
          <w:color w:val="000000"/>
          <w:sz w:val="18"/>
          <w:szCs w:val="18"/>
          <w:vertAlign w:val="superscript"/>
        </w:rPr>
        <w:t>2</w:t>
      </w:r>
      <w:r>
        <w:rPr>
          <w:color w:val="000000"/>
          <w:sz w:val="11"/>
          <w:szCs w:val="11"/>
        </w:rPr>
        <w:t xml:space="preserve"> </w:t>
      </w:r>
      <w:r>
        <w:rPr>
          <w:color w:val="000000"/>
          <w:sz w:val="15"/>
          <w:szCs w:val="15"/>
        </w:rPr>
        <w:t>per 24 h at 4.4 °C and 0% relative humidity and moisture vapor transmission rate of 0.5 to 7.75 × 10</w:t>
      </w:r>
      <w:r>
        <w:rPr>
          <w:color w:val="000000"/>
          <w:sz w:val="18"/>
          <w:szCs w:val="18"/>
          <w:vertAlign w:val="superscript"/>
        </w:rPr>
        <w:t xml:space="preserve">−4 </w:t>
      </w:r>
      <w:r>
        <w:rPr>
          <w:color w:val="000000"/>
          <w:sz w:val="15"/>
          <w:szCs w:val="15"/>
        </w:rPr>
        <w:t>to 9.3 × 10</w:t>
      </w:r>
      <w:r>
        <w:rPr>
          <w:color w:val="000000"/>
          <w:sz w:val="18"/>
          <w:szCs w:val="18"/>
          <w:vertAlign w:val="superscript"/>
        </w:rPr>
        <w:t xml:space="preserve">−4 </w:t>
      </w:r>
      <w:r>
        <w:rPr>
          <w:color w:val="000000"/>
          <w:sz w:val="15"/>
          <w:szCs w:val="15"/>
        </w:rPr>
        <w:t>g per cm</w:t>
      </w:r>
      <w:r>
        <w:rPr>
          <w:color w:val="000000"/>
          <w:sz w:val="18"/>
          <w:szCs w:val="18"/>
          <w:vertAlign w:val="superscript"/>
        </w:rPr>
        <w:t xml:space="preserve">2 </w:t>
      </w:r>
      <w:r>
        <w:rPr>
          <w:color w:val="000000"/>
          <w:sz w:val="15"/>
          <w:szCs w:val="15"/>
        </w:rPr>
        <w:t>per 24 h at 37.8 °C and 100% relative humidity; Cryovac B2620 barrier bags, Sealed Air Corporation, Duncan, SC) with 5 sausage links per package, and stored at 2 °C for 0, 30, 60, 90, and 120 d. The storage length was based on the typical commercial processing conditions and expectations, which usually allows 3 to 4 weeks for vacuum-packaged sausage to reach various markets, and 30 to 120 d to be sold. Equip ment used for sausage production and cooking was cleaned with hot water and soap thoroughly between each experimental unit (batch of sausage).</w:t>
      </w:r>
    </w:p>
    <w:p w14:paraId="2AD124AA" w14:textId="77777777" w:rsidR="003570ED" w:rsidRDefault="003570ED" w:rsidP="003570ED">
      <w:pPr>
        <w:pStyle w:val="Standard"/>
        <w:spacing w:before="218" w:line="240" w:lineRule="auto"/>
      </w:pPr>
      <w:r>
        <w:rPr>
          <w:color w:val="000000"/>
          <w:sz w:val="15"/>
          <w:szCs w:val="15"/>
        </w:rPr>
        <w:t>2.2. Sample collection and preparation</w:t>
      </w:r>
    </w:p>
    <w:p w14:paraId="34784C06" w14:textId="77777777" w:rsidR="003570ED" w:rsidRDefault="003570ED" w:rsidP="003570ED">
      <w:pPr>
        <w:pStyle w:val="Standard"/>
        <w:spacing w:before="232" w:line="259" w:lineRule="auto"/>
        <w:ind w:left="4" w:right="197" w:firstLine="253"/>
        <w:jc w:val="both"/>
      </w:pPr>
      <w:r>
        <w:rPr>
          <w:color w:val="000000"/>
          <w:sz w:val="15"/>
          <w:szCs w:val="15"/>
        </w:rPr>
        <w:t>During sausage production, triplicate 25-g samples were collected after grinding (ground beef - GB), after salting (salted beef - SB), and after formulating sausage batter (beef sausage batter - BB) for in oculation with Salmonella and E. coli. These processing steps were chosen because they markedly changed the physical, chemical, and microbiological attributes of raw materials and cooked sausage. They all involved mixing and were potentially points of cross-contamination. For aerobic and lactic acid bacteria plate counts, triplicate 10-g samples were also collected after each processing step. Pre-rigor GB and SB were collected on the day of deboning because coarse-grinding and salting</w:t>
      </w:r>
    </w:p>
    <w:p w14:paraId="060959DA" w14:textId="77777777" w:rsidR="003570ED" w:rsidRDefault="003570ED" w:rsidP="003570ED">
      <w:pPr>
        <w:pStyle w:val="Standard"/>
        <w:spacing w:before="14048" w:line="240" w:lineRule="auto"/>
      </w:pPr>
      <w:r>
        <w:rPr>
          <w:color w:val="000000"/>
          <w:sz w:val="12"/>
          <w:szCs w:val="12"/>
        </w:rPr>
        <w:lastRenderedPageBreak/>
        <w:t>50</w:t>
      </w:r>
    </w:p>
    <w:p w14:paraId="2FC8A13D" w14:textId="77777777" w:rsidR="003570ED" w:rsidRDefault="003570ED" w:rsidP="003570ED">
      <w:pPr>
        <w:pStyle w:val="Standard"/>
        <w:spacing w:line="259" w:lineRule="auto"/>
        <w:ind w:left="164" w:right="26"/>
        <w:jc w:val="both"/>
      </w:pPr>
      <w:r>
        <w:rPr>
          <w:color w:val="000000"/>
          <w:sz w:val="15"/>
          <w:szCs w:val="15"/>
        </w:rPr>
        <w:t>were required to maintain pre-rigor properties. However, post-rigor beef was only cubed, not ground on the day of deboning. Post-rigor GB samples were collected on the day of sausage production, after 1.27-cm coarse grinding, but before salting, 0.16-cm fine grinding, and batter formulation. This is to mimic normal timeline of post-rigor sausage production. Salting of post-rigor beef was performed separately from batter formulation so that post-rigor SB samples could be collected. This also followed typical industry practice to improve extractability of proteins before adding water/ice slurry, fat trimming, and other dry ingredients. Cooked sausage was sampled on d 0, 30, 60, 90, and 120 from vacuum packages. Sausage samples were frozen in liquid nitrogen, pulverized to fine powder, and stored at −80 °C for subsequent de termination of aerobic plate count and lactic acid bacteria.</w:t>
      </w:r>
    </w:p>
    <w:p w14:paraId="3EDE7EF9" w14:textId="77777777" w:rsidR="003570ED" w:rsidRDefault="003570ED" w:rsidP="003570ED">
      <w:pPr>
        <w:pStyle w:val="Standard"/>
        <w:spacing w:before="217" w:line="251" w:lineRule="auto"/>
        <w:ind w:left="160" w:right="37" w:hanging="2"/>
      </w:pPr>
      <w:r>
        <w:rPr>
          <w:color w:val="000000"/>
          <w:sz w:val="15"/>
          <w:szCs w:val="15"/>
        </w:rPr>
        <w:t>2.2.1. Salmonella and E. coli strains and inoculum preparation Three strains of Salmonella including Salmonella enterica ser. Typhimurium ATCC 14028, S. enterica ser. Enteritidis ATCC 4931, and S. enterica ser. Braenderup ATCC BAA-664 (Hardy Diagnostics, Santa Maria, CA) and generic E. coli (Hardy Diagnostics, Santa Maria, CA) were used in the current study. All Salmonella serotypes were in dividually cultured in trypticase soy broth (TSB) (Beckton Dickinson and Company, Durham, NC) supplemented with 50-mg/L nalidixic acid (Sigma-Aldrich, St. Louis, MO) (</w:t>
      </w:r>
      <w:r>
        <w:rPr>
          <w:color w:val="287CA5"/>
          <w:sz w:val="15"/>
          <w:szCs w:val="15"/>
        </w:rPr>
        <w:t>Weissinger, Chantarapanont, &amp; Beuchat, 2000</w:t>
      </w:r>
      <w:r>
        <w:rPr>
          <w:color w:val="000000"/>
          <w:sz w:val="15"/>
          <w:szCs w:val="15"/>
        </w:rPr>
        <w:t>). Individual stock cultures were stored at 4 °C on bril liant green agar supplemented with 50-mg/L nalidixic acid. A single colony was suspended in 10 mL of TSB supplemented with 50-mg/L nalidixic acid and incubated at 37 °C for 24 h to reach a stationary phase concentration of 10</w:t>
      </w:r>
      <w:r>
        <w:rPr>
          <w:color w:val="000000"/>
          <w:sz w:val="18"/>
          <w:szCs w:val="18"/>
          <w:vertAlign w:val="superscript"/>
        </w:rPr>
        <w:t xml:space="preserve">8 </w:t>
      </w:r>
      <w:r>
        <w:rPr>
          <w:color w:val="000000"/>
          <w:sz w:val="15"/>
          <w:szCs w:val="15"/>
        </w:rPr>
        <w:t>CFU/mL. The bacterial suspensions in TSB were centrifuged at 3300 ×g for 10 min and the pellets were suspended in 0.1% (w/v) sterile peptone water. A cocktail of the three strains was prepared by mixing equal volumes of the suspensions. The cocktail was serially diluted in 0.1% (w/v) sterile peptone water to prepare an in oculum containing 10</w:t>
      </w:r>
      <w:r>
        <w:rPr>
          <w:color w:val="000000"/>
          <w:sz w:val="18"/>
          <w:szCs w:val="18"/>
          <w:vertAlign w:val="superscript"/>
        </w:rPr>
        <w:t xml:space="preserve">6 </w:t>
      </w:r>
      <w:r>
        <w:rPr>
          <w:color w:val="000000"/>
          <w:sz w:val="15"/>
          <w:szCs w:val="15"/>
        </w:rPr>
        <w:t xml:space="preserve">CFU/mL of Salmonella. E. coli stock cultures were prepared in EMB agar supplemented with 20-mg/L nalidixic acid and stored at 4 °C. A single colony was suspended in 10 mL of TSB </w:t>
      </w:r>
      <w:r>
        <w:rPr>
          <w:color w:val="000000"/>
          <w:sz w:val="15"/>
          <w:szCs w:val="15"/>
        </w:rPr>
        <w:t>supplemented with 20-mg/L nalidixic acid and incubated at 37 °C for 24 h to reach a stationary phase concentration of 10</w:t>
      </w:r>
      <w:r>
        <w:rPr>
          <w:color w:val="000000"/>
          <w:sz w:val="18"/>
          <w:szCs w:val="18"/>
          <w:vertAlign w:val="superscript"/>
        </w:rPr>
        <w:t xml:space="preserve">8 </w:t>
      </w:r>
      <w:r>
        <w:rPr>
          <w:color w:val="000000"/>
          <w:sz w:val="15"/>
          <w:szCs w:val="15"/>
        </w:rPr>
        <w:t>CFU/mL. The bacterial suspension in TSB was centrifuged at 3300 ×g for 10 min, and the pellet was suspended in 0.1% (w/v) sterile peptone water. The suspension was serially diluted in 0.1% (w/v) sterile peptone water to prepare an inoculum containing 10</w:t>
      </w:r>
      <w:r>
        <w:rPr>
          <w:color w:val="000000"/>
          <w:sz w:val="18"/>
          <w:szCs w:val="18"/>
          <w:vertAlign w:val="superscript"/>
        </w:rPr>
        <w:t xml:space="preserve">5 </w:t>
      </w:r>
      <w:r>
        <w:rPr>
          <w:color w:val="000000"/>
          <w:sz w:val="15"/>
          <w:szCs w:val="15"/>
        </w:rPr>
        <w:t>to 10</w:t>
      </w:r>
      <w:r>
        <w:rPr>
          <w:color w:val="000000"/>
          <w:sz w:val="18"/>
          <w:szCs w:val="18"/>
          <w:vertAlign w:val="superscript"/>
        </w:rPr>
        <w:t xml:space="preserve">6 </w:t>
      </w:r>
      <w:r>
        <w:rPr>
          <w:color w:val="000000"/>
          <w:sz w:val="15"/>
          <w:szCs w:val="15"/>
        </w:rPr>
        <w:t>CFU/mL of E. coli.</w:t>
      </w:r>
    </w:p>
    <w:p w14:paraId="78B9D9D0" w14:textId="77777777" w:rsidR="003570ED" w:rsidRDefault="003570ED" w:rsidP="003570ED">
      <w:pPr>
        <w:pStyle w:val="Standard"/>
        <w:spacing w:before="220" w:line="240" w:lineRule="auto"/>
        <w:ind w:left="160"/>
      </w:pPr>
      <w:r>
        <w:rPr>
          <w:color w:val="000000"/>
          <w:sz w:val="15"/>
          <w:szCs w:val="15"/>
        </w:rPr>
        <w:t>2.2.2. Salmonella and E. coli inoculation and storage</w:t>
      </w:r>
    </w:p>
    <w:p w14:paraId="0CE60C15" w14:textId="77777777" w:rsidR="003570ED" w:rsidRDefault="003570ED" w:rsidP="003570ED">
      <w:pPr>
        <w:pStyle w:val="Standard"/>
        <w:spacing w:before="23" w:line="259" w:lineRule="auto"/>
        <w:ind w:left="165" w:right="37" w:firstLine="249"/>
        <w:jc w:val="both"/>
      </w:pPr>
      <w:r>
        <w:rPr>
          <w:color w:val="000000"/>
          <w:sz w:val="15"/>
          <w:szCs w:val="15"/>
        </w:rPr>
        <w:t>Triplicate 25-g samples were inoculated with 100 μL of inoculum containing 6 log CFU/mL of Salmonella. Separate triplicate 25-g sam ples were inoculated with 100 μL of 5 log CFU/mL of E. coli inoculum. The final inoculated concentration for Salmonella and E. coli. Was 3.0 to 3.5 log and 2.5 to 2.6 log CFU/g, respectively, based on the preliminary trials to determine inoculum concentration and d-0 concentrations (</w:t>
      </w:r>
      <w:r>
        <w:rPr>
          <w:color w:val="287CA5"/>
          <w:sz w:val="15"/>
          <w:szCs w:val="15"/>
        </w:rPr>
        <w:t>Figs. 4 and 5</w:t>
      </w:r>
      <w:r>
        <w:rPr>
          <w:color w:val="000000"/>
          <w:sz w:val="15"/>
          <w:szCs w:val="15"/>
        </w:rPr>
        <w:t>). Inoculated samples were stored for 0, 3, 7, and 10 d at 4 °C. The d-0 samples were given 30-min attachment before bacterial cells were extracted and enumerated.</w:t>
      </w:r>
    </w:p>
    <w:p w14:paraId="706A3D7E" w14:textId="77777777" w:rsidR="003570ED" w:rsidRDefault="003570ED" w:rsidP="003570ED">
      <w:pPr>
        <w:pStyle w:val="Standard"/>
        <w:spacing w:before="217" w:line="240" w:lineRule="auto"/>
        <w:ind w:left="160"/>
      </w:pPr>
      <w:r>
        <w:rPr>
          <w:color w:val="000000"/>
          <w:sz w:val="15"/>
          <w:szCs w:val="15"/>
        </w:rPr>
        <w:t>2.3. Sample analysis</w:t>
      </w:r>
    </w:p>
    <w:p w14:paraId="36C60FFF" w14:textId="77777777" w:rsidR="003570ED" w:rsidRDefault="003570ED" w:rsidP="003570ED">
      <w:pPr>
        <w:pStyle w:val="Standard"/>
        <w:spacing w:before="232" w:line="240" w:lineRule="auto"/>
        <w:ind w:left="160"/>
      </w:pPr>
      <w:r>
        <w:rPr>
          <w:color w:val="000000"/>
          <w:sz w:val="15"/>
          <w:szCs w:val="15"/>
        </w:rPr>
        <w:t>2.3.1. pH</w:t>
      </w:r>
    </w:p>
    <w:p w14:paraId="676081FA" w14:textId="77777777" w:rsidR="003570ED" w:rsidRDefault="003570ED" w:rsidP="003570ED">
      <w:pPr>
        <w:pStyle w:val="Standard"/>
        <w:spacing w:before="22" w:line="259" w:lineRule="auto"/>
        <w:ind w:left="164" w:right="38" w:firstLine="251"/>
        <w:jc w:val="both"/>
      </w:pPr>
      <w:r>
        <w:rPr>
          <w:color w:val="000000"/>
          <w:sz w:val="15"/>
          <w:szCs w:val="15"/>
        </w:rPr>
        <w:t>pH of GB, SB, and BB was recorded in triplicate by inserting a portable digital FC 2320 digital probe with temperature compensation (Hanna Instruments United States, Inc., Woonsocket, RI) directly into the samples. For cooked sausage, 1 g of pulverized sample was mixed with 10 mL of deionized water and pH was recorded by a temperature compensation probe (Accumet 13-620-631, Fisher Scientific, Waltham, MA). Both pH meters were calibrated with pH 4, 7, and 10 buffers.</w:t>
      </w:r>
    </w:p>
    <w:p w14:paraId="7C673393" w14:textId="77777777" w:rsidR="003570ED" w:rsidRDefault="003570ED" w:rsidP="003570ED">
      <w:pPr>
        <w:pStyle w:val="Standard"/>
        <w:spacing w:before="217" w:line="240" w:lineRule="auto"/>
        <w:ind w:left="160"/>
      </w:pPr>
      <w:r>
        <w:rPr>
          <w:color w:val="000000"/>
          <w:sz w:val="15"/>
          <w:szCs w:val="15"/>
        </w:rPr>
        <w:t>2.3.2. Water activity (a</w:t>
      </w:r>
      <w:r>
        <w:rPr>
          <w:color w:val="000000"/>
          <w:sz w:val="18"/>
          <w:szCs w:val="18"/>
          <w:vertAlign w:val="subscript"/>
        </w:rPr>
        <w:t>w</w:t>
      </w:r>
      <w:r>
        <w:rPr>
          <w:color w:val="000000"/>
          <w:sz w:val="15"/>
          <w:szCs w:val="15"/>
        </w:rPr>
        <w:t>)</w:t>
      </w:r>
    </w:p>
    <w:p w14:paraId="1E3293DA" w14:textId="77777777" w:rsidR="003570ED" w:rsidRDefault="003570ED" w:rsidP="003570ED">
      <w:pPr>
        <w:pStyle w:val="Standard"/>
        <w:spacing w:line="240" w:lineRule="auto"/>
        <w:ind w:right="38"/>
        <w:jc w:val="right"/>
      </w:pPr>
      <w:r>
        <w:rPr>
          <w:color w:val="000000"/>
          <w:sz w:val="15"/>
          <w:szCs w:val="15"/>
        </w:rPr>
        <w:t>Water activity of fat trimming, GB, SB, and BB was measured by a</w:t>
      </w:r>
    </w:p>
    <w:p w14:paraId="155ED901"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72B7C7CA" w14:textId="77777777" w:rsidR="003570ED" w:rsidRDefault="003570ED" w:rsidP="003570ED">
      <w:pPr>
        <w:pStyle w:val="Standard"/>
        <w:spacing w:line="240" w:lineRule="auto"/>
        <w:jc w:val="center"/>
      </w:pPr>
      <w:r>
        <w:rPr>
          <w:color w:val="000000"/>
          <w:sz w:val="12"/>
          <w:szCs w:val="12"/>
        </w:rPr>
        <w:t xml:space="preserve">A.T. Sukumaran et al. </w:t>
      </w:r>
      <w:r>
        <w:rPr>
          <w:i/>
          <w:color w:val="000000"/>
          <w:sz w:val="12"/>
          <w:szCs w:val="12"/>
        </w:rPr>
        <w:t>Meat Science 139 (2018) 49–55</w:t>
      </w:r>
    </w:p>
    <w:p w14:paraId="0F7874B7"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1B224C5A" w14:textId="77777777" w:rsidR="003570ED" w:rsidRDefault="003570ED" w:rsidP="003570ED">
      <w:pPr>
        <w:pStyle w:val="Standard"/>
        <w:spacing w:before="282" w:line="244" w:lineRule="auto"/>
        <w:ind w:left="6" w:right="199"/>
        <w:jc w:val="both"/>
      </w:pPr>
      <w:r>
        <w:rPr>
          <w:color w:val="000000"/>
          <w:sz w:val="15"/>
          <w:szCs w:val="15"/>
        </w:rPr>
        <w:t>portable Aqualab Pawkit water activity meter (Decagon Devices Inc., Pullman, Washington, USA). The instrument was calibrated using 6-M NaCl solution (a</w:t>
      </w:r>
      <w:r>
        <w:rPr>
          <w:color w:val="000000"/>
          <w:sz w:val="18"/>
          <w:szCs w:val="18"/>
          <w:vertAlign w:val="subscript"/>
        </w:rPr>
        <w:t xml:space="preserve">w </w:t>
      </w:r>
      <w:r>
        <w:rPr>
          <w:color w:val="000000"/>
          <w:sz w:val="15"/>
          <w:szCs w:val="15"/>
        </w:rPr>
        <w:t>= 0.76) and 13.41-M lithium chloride solution (a</w:t>
      </w:r>
      <w:r>
        <w:rPr>
          <w:color w:val="000000"/>
          <w:sz w:val="18"/>
          <w:szCs w:val="18"/>
          <w:vertAlign w:val="subscript"/>
        </w:rPr>
        <w:t xml:space="preserve">w </w:t>
      </w:r>
      <w:r>
        <w:rPr>
          <w:color w:val="000000"/>
          <w:sz w:val="15"/>
          <w:szCs w:val="15"/>
        </w:rPr>
        <w:t>= 0.25).</w:t>
      </w:r>
    </w:p>
    <w:p w14:paraId="0DD7D132" w14:textId="77777777" w:rsidR="003570ED" w:rsidRDefault="003570ED" w:rsidP="003570ED">
      <w:pPr>
        <w:pStyle w:val="Standard"/>
        <w:spacing w:before="198" w:line="259" w:lineRule="auto"/>
        <w:ind w:right="195"/>
        <w:jc w:val="center"/>
      </w:pPr>
      <w:r>
        <w:rPr>
          <w:color w:val="000000"/>
          <w:sz w:val="15"/>
          <w:szCs w:val="15"/>
        </w:rPr>
        <w:t>2.3.3. Aerobic plate count (APC) and lactic acid bacteria count (LAB) A 10-g sample was mixed with 90 mL of 0.1% (w/v) sterile peptone water in a sterile Whirlpack™ bag and homogenized by gentle hand shaking for 2 min. The homogenate was serially diluted with 0.1% (w/ v) sterile peptone water by 100-fold, and 1 mL of each dilution was plated onto a 3 M™ APC Petrifilm™ (3 M Corporation, St. Paul, MN). The Petrifilm™ was incubated at 37 °C for 48 h, and red colored colonies were counted (Interpretation guide- 3 M™ APC Petrifilm™). Counts were reported as log CFU/g. To determine LAB counts, 0.5 mL of the homogenate was mixed with 0.5 mL of commercially available MRS broth (Laboratory Media Corporation, Batavia, IL) and plated on 3 M™APC Petrifilm™. The plates were incubated aerobically for 48 h at 37 °C, red colonies were counted, and LAB was reported as log CFU/g. Both samples and dilutions were weighed and analyzed in duplicate.</w:t>
      </w:r>
    </w:p>
    <w:p w14:paraId="2B811CFE" w14:textId="77777777" w:rsidR="003570ED" w:rsidRDefault="003570ED" w:rsidP="003570ED">
      <w:pPr>
        <w:pStyle w:val="Standard"/>
        <w:spacing w:before="217" w:line="240" w:lineRule="auto"/>
      </w:pPr>
      <w:r>
        <w:rPr>
          <w:color w:val="000000"/>
          <w:sz w:val="15"/>
          <w:szCs w:val="15"/>
        </w:rPr>
        <w:t>2.3.4. Salmonella and E. coli enumeration</w:t>
      </w:r>
    </w:p>
    <w:p w14:paraId="13420E19" w14:textId="77777777" w:rsidR="003570ED" w:rsidRDefault="003570ED" w:rsidP="003570ED">
      <w:pPr>
        <w:pStyle w:val="Standard"/>
        <w:spacing w:before="22" w:line="259" w:lineRule="auto"/>
        <w:ind w:left="5" w:right="197" w:firstLine="252"/>
        <w:jc w:val="both"/>
      </w:pPr>
      <w:r>
        <w:rPr>
          <w:color w:val="000000"/>
          <w:sz w:val="15"/>
          <w:szCs w:val="15"/>
        </w:rPr>
        <w:t>Each 25-g inoculated sample was mixed with 225 mL of 0.1% (w/v) sterile peptone water in a Whirlpack™ bag and homogenized by gentle hand shaking for 2 min. For Salmonella, 100 μL of the homogenate was plated in duplicate onto XLD agar plates supplemented with 50-mg/L nalidixic acid. The plates were incubated at 35 °C for 48 h and black colonies with a metallic sheen were counted as Salmonella. For E. coli, a similar extraction was performed, and 100 μL of the homogenate was plated onto EMB agar plates supplemented with 20-mg/L nalidixic acid in duplicate. The plates were incubated at 35 °C for 48 h and dark purple colonies with green sheen were counted as E. coli. Bacterial counts were reported as log CFU/g.</w:t>
      </w:r>
    </w:p>
    <w:p w14:paraId="6823960B" w14:textId="77777777" w:rsidR="003570ED" w:rsidRDefault="003570ED" w:rsidP="003570ED">
      <w:pPr>
        <w:pStyle w:val="Standard"/>
        <w:spacing w:before="217" w:line="240" w:lineRule="auto"/>
      </w:pPr>
      <w:r>
        <w:rPr>
          <w:color w:val="000000"/>
          <w:sz w:val="15"/>
          <w:szCs w:val="15"/>
        </w:rPr>
        <w:t>2.4. Statistical analysis</w:t>
      </w:r>
    </w:p>
    <w:p w14:paraId="38401058" w14:textId="77777777" w:rsidR="003570ED" w:rsidRDefault="003570ED" w:rsidP="003570ED">
      <w:pPr>
        <w:pStyle w:val="Standard"/>
        <w:spacing w:before="232" w:line="259" w:lineRule="auto"/>
        <w:ind w:left="5" w:right="197" w:firstLine="252"/>
        <w:jc w:val="both"/>
      </w:pPr>
      <w:r>
        <w:rPr>
          <w:color w:val="000000"/>
          <w:sz w:val="15"/>
          <w:szCs w:val="15"/>
        </w:rPr>
        <w:t xml:space="preserve">Data were analyzed as a split-plot design nested in a randomized complete block design with animal serving as the random block. Processing step (grinding - GB, salting - SB, or formulating batter - BB) and/or storage time served as split-plot factor. Both processing step and storage time were used in the statistical model to analyze Salmonella and E. coli data. However, only processing step was used in the statis tical model to analyze pH, APC, and LAB of raw beef mixtures; whereas only storage time was used for cooked sausage. A generalized linear mixed model was used with </w:t>
      </w:r>
      <w:r>
        <w:rPr>
          <w:color w:val="000000"/>
          <w:sz w:val="15"/>
          <w:szCs w:val="15"/>
        </w:rPr>
        <w:t>deboning time (pre- or post-rigor), pro cessing step, and/or storage time serving as fixed effects, and animal serving as a random block effect. Analysis of variances was performed in the GLIMMIX procedure of SAS 9.4 (SAS Institute Inc., Cary, NC). Means, if different, were separated by a protected t-test in the LSMEANS option of the GLIMMIX procedure. Comparison of APC between GB and beef fat was performed by a paired t-test. Statistical significance was determined at P ≤ 0.05 unless otherwise noted.</w:t>
      </w:r>
    </w:p>
    <w:p w14:paraId="0CBFCC79" w14:textId="77777777" w:rsidR="003570ED" w:rsidRDefault="003570ED" w:rsidP="003570ED">
      <w:pPr>
        <w:pStyle w:val="Standard"/>
        <w:spacing w:before="217" w:line="240" w:lineRule="auto"/>
        <w:ind w:left="9"/>
      </w:pPr>
      <w:r>
        <w:rPr>
          <w:color w:val="000000"/>
          <w:sz w:val="15"/>
          <w:szCs w:val="15"/>
        </w:rPr>
        <w:t>3. Results and discussion</w:t>
      </w:r>
    </w:p>
    <w:p w14:paraId="351402E4" w14:textId="77777777" w:rsidR="003570ED" w:rsidRDefault="003570ED" w:rsidP="003570ED">
      <w:pPr>
        <w:pStyle w:val="Standard"/>
        <w:spacing w:before="232" w:line="240" w:lineRule="auto"/>
        <w:ind w:left="4"/>
      </w:pPr>
      <w:r>
        <w:rPr>
          <w:color w:val="000000"/>
          <w:sz w:val="15"/>
          <w:szCs w:val="15"/>
        </w:rPr>
        <w:t>3.1. pH</w:t>
      </w:r>
    </w:p>
    <w:p w14:paraId="5BBFC2DD" w14:textId="77777777" w:rsidR="003570ED" w:rsidRDefault="003570ED" w:rsidP="003570ED">
      <w:pPr>
        <w:pStyle w:val="Standard"/>
        <w:spacing w:before="232" w:line="259" w:lineRule="auto"/>
        <w:ind w:left="6" w:right="186" w:firstLine="248"/>
        <w:jc w:val="both"/>
      </w:pPr>
      <w:r>
        <w:rPr>
          <w:color w:val="000000"/>
          <w:sz w:val="15"/>
          <w:szCs w:val="15"/>
        </w:rPr>
        <w:t>The pH of raw beef was greater in pre-rigor samples (6.78, 6.07, and 6.01 in GB, SB, and BB, respectively) than in post-rigor ones (5.84, 5.56, and 5.76 in GB, SB, and BB, respectively; P ≤ 0.036). Within the pre rigor treatment, the pH was greater in GB (6.78) than SB and BB (6.07 and 6.01; P &lt; 0.001). Within the post-rigor treatment, the pH was greater in GB (5.84) than in SB (5.56; P = 0.021); however, pH values for BB (5.76) and SB did not differ (P = 0.094). After cooking, pH of cooked sausage was 6.17 (pre-rigor) to 6.00 (post-rigor). Although pH of cooked sausage was gradually decreased to 5.69, 5.41, and 5.19 on d 60, 90, and 120, pH was similar between pre-and post-rigor treatments</w:t>
      </w:r>
    </w:p>
    <w:p w14:paraId="66A3708C" w14:textId="77777777" w:rsidR="003570ED" w:rsidRDefault="003570ED" w:rsidP="003570ED">
      <w:pPr>
        <w:pStyle w:val="Standard"/>
        <w:spacing w:before="14048" w:line="240" w:lineRule="auto"/>
      </w:pPr>
      <w:r>
        <w:rPr>
          <w:color w:val="000000"/>
          <w:sz w:val="12"/>
          <w:szCs w:val="12"/>
        </w:rPr>
        <w:lastRenderedPageBreak/>
        <w:t>51</w:t>
      </w:r>
    </w:p>
    <w:p w14:paraId="2721AA04" w14:textId="77777777" w:rsidR="003570ED" w:rsidRDefault="003570ED" w:rsidP="003570ED">
      <w:pPr>
        <w:pStyle w:val="Standard"/>
        <w:spacing w:line="240" w:lineRule="auto"/>
        <w:ind w:left="168"/>
      </w:pPr>
      <w:r>
        <w:rPr>
          <w:color w:val="000000"/>
          <w:sz w:val="15"/>
          <w:szCs w:val="15"/>
        </w:rPr>
        <w:t>across storage times (P = 0.662).</w:t>
      </w:r>
    </w:p>
    <w:p w14:paraId="5184184B" w14:textId="77777777" w:rsidR="003570ED" w:rsidRDefault="003570ED" w:rsidP="003570ED">
      <w:pPr>
        <w:pStyle w:val="Standard"/>
        <w:spacing w:before="22" w:line="259" w:lineRule="auto"/>
        <w:ind w:left="164" w:right="25" w:firstLine="254"/>
        <w:jc w:val="both"/>
      </w:pPr>
      <w:r>
        <w:rPr>
          <w:color w:val="000000"/>
          <w:sz w:val="15"/>
          <w:szCs w:val="15"/>
        </w:rPr>
        <w:t>Similar to the current study, previous studies have reported a greater pH in sausage prepared from pre-rigor muscle than those pre pared from post-rigor muscle (</w:t>
      </w:r>
      <w:r>
        <w:rPr>
          <w:color w:val="287CA5"/>
          <w:sz w:val="15"/>
          <w:szCs w:val="15"/>
        </w:rPr>
        <w:t>Laury &amp; Sebranek, 2007; Lin, Topel, &amp; Walker, 1979</w:t>
      </w:r>
      <w:r>
        <w:rPr>
          <w:color w:val="000000"/>
          <w:sz w:val="15"/>
          <w:szCs w:val="15"/>
        </w:rPr>
        <w:t>). The pH of pre-rigor pork sausage was 6.2 and that of post-rigor sausage was 5.6 (</w:t>
      </w:r>
      <w:r>
        <w:rPr>
          <w:color w:val="287CA5"/>
          <w:sz w:val="15"/>
          <w:szCs w:val="15"/>
        </w:rPr>
        <w:t>Laury &amp; Sebranek, 2007</w:t>
      </w:r>
      <w:r>
        <w:rPr>
          <w:color w:val="000000"/>
          <w:sz w:val="15"/>
          <w:szCs w:val="15"/>
        </w:rPr>
        <w:t>). This is a result of incomplete conversion of muscle to meat in pre-rigor muscle because both anaerobic metabolism and muscle contraction are inhibited, which prevents pH decline. Addition of salt suppresses glycolysis and muscle contraction, possibly because of its denaturation effect on glycolytic enzymes and ATPase (</w:t>
      </w:r>
      <w:r>
        <w:rPr>
          <w:color w:val="287CA5"/>
          <w:sz w:val="15"/>
          <w:szCs w:val="15"/>
        </w:rPr>
        <w:t>Hamm, 1977</w:t>
      </w:r>
      <w:r>
        <w:rPr>
          <w:color w:val="000000"/>
          <w:sz w:val="15"/>
          <w:szCs w:val="15"/>
        </w:rPr>
        <w:t xml:space="preserve">). However, </w:t>
      </w:r>
      <w:r>
        <w:rPr>
          <w:color w:val="287CA5"/>
          <w:sz w:val="15"/>
          <w:szCs w:val="15"/>
        </w:rPr>
        <w:t xml:space="preserve">Claus and Sorheim (2006) </w:t>
      </w:r>
      <w:r>
        <w:rPr>
          <w:color w:val="000000"/>
          <w:sz w:val="15"/>
          <w:szCs w:val="15"/>
        </w:rPr>
        <w:t>suggested that a salt concentration of 1.7% was not enough to inhibit glycolysis completely in pre-rigor ground beef, even if the meat is immediately chilled. In the current study, 1.5% salt was used, which might not be sufficient to prevent the initial pH from declining. How ever, addition of more salt will jeopardize technological and sensory attributes of raw meat. Moreover, pH decline during storage of cooked sausage was likely caused by the growth of LAB in vacuum packages (</w:t>
      </w:r>
      <w:r>
        <w:rPr>
          <w:color w:val="287CA5"/>
          <w:sz w:val="15"/>
          <w:szCs w:val="15"/>
        </w:rPr>
        <w:t>Sachindra, Sakhare, Yashoda, &amp; Narasimha Rao, 2005</w:t>
      </w:r>
      <w:r>
        <w:rPr>
          <w:color w:val="000000"/>
          <w:sz w:val="15"/>
          <w:szCs w:val="15"/>
        </w:rPr>
        <w:t>). Lactic acid bacteria metabolize simple carbohydrates such as glucose, fructose, mannose, ribose, and their phosphate derivatives (</w:t>
      </w:r>
      <w:r>
        <w:rPr>
          <w:color w:val="287CA5"/>
          <w:sz w:val="15"/>
          <w:szCs w:val="15"/>
        </w:rPr>
        <w:t>Koutsidis et al., 2008</w:t>
      </w:r>
      <w:r>
        <w:rPr>
          <w:color w:val="000000"/>
          <w:sz w:val="15"/>
          <w:szCs w:val="15"/>
        </w:rPr>
        <w:t>) in meat to lactic acid (</w:t>
      </w:r>
      <w:r>
        <w:rPr>
          <w:color w:val="287CA5"/>
          <w:sz w:val="15"/>
          <w:szCs w:val="15"/>
        </w:rPr>
        <w:t>Pothakos, Devlieghere, Villani, Björkroth, &amp; Ercolini, 2015</w:t>
      </w:r>
      <w:r>
        <w:rPr>
          <w:color w:val="000000"/>
          <w:sz w:val="15"/>
          <w:szCs w:val="15"/>
        </w:rPr>
        <w:t>).</w:t>
      </w:r>
    </w:p>
    <w:p w14:paraId="53A4E1F7" w14:textId="77777777" w:rsidR="003570ED" w:rsidRDefault="003570ED" w:rsidP="003570ED">
      <w:pPr>
        <w:pStyle w:val="Standard"/>
        <w:spacing w:before="217" w:line="240" w:lineRule="auto"/>
        <w:ind w:left="164"/>
      </w:pPr>
      <w:r>
        <w:rPr>
          <w:color w:val="000000"/>
          <w:sz w:val="15"/>
          <w:szCs w:val="15"/>
        </w:rPr>
        <w:t>3.2. Water activity</w:t>
      </w:r>
    </w:p>
    <w:p w14:paraId="777DB012" w14:textId="77777777" w:rsidR="003570ED" w:rsidRDefault="003570ED" w:rsidP="003570ED">
      <w:pPr>
        <w:pStyle w:val="Standard"/>
        <w:spacing w:before="232" w:line="242" w:lineRule="auto"/>
        <w:ind w:left="164" w:right="36" w:firstLine="249"/>
        <w:jc w:val="both"/>
      </w:pPr>
      <w:r>
        <w:rPr>
          <w:color w:val="000000"/>
          <w:sz w:val="15"/>
          <w:szCs w:val="15"/>
        </w:rPr>
        <w:t>Water activity of fat trimming, GB, SB, and BB was not affected by deboning time (P = 0.908) but by processing step (P &lt; 0.001). The a</w:t>
      </w:r>
      <w:r>
        <w:rPr>
          <w:color w:val="000000"/>
          <w:sz w:val="18"/>
          <w:szCs w:val="18"/>
          <w:vertAlign w:val="subscript"/>
        </w:rPr>
        <w:t>w</w:t>
      </w:r>
      <w:r>
        <w:rPr>
          <w:color w:val="000000"/>
          <w:sz w:val="11"/>
          <w:szCs w:val="11"/>
        </w:rPr>
        <w:t xml:space="preserve"> </w:t>
      </w:r>
      <w:r>
        <w:rPr>
          <w:color w:val="000000"/>
          <w:sz w:val="15"/>
          <w:szCs w:val="15"/>
        </w:rPr>
        <w:t>started at 0.98 for both GB and fat trimming (P = 0.745), was de creased to 0.90 in SB (P &lt; 0.001), but increased back to 0.94 in BB, which was still less than initial a</w:t>
      </w:r>
      <w:r>
        <w:rPr>
          <w:color w:val="000000"/>
          <w:sz w:val="18"/>
          <w:szCs w:val="18"/>
          <w:vertAlign w:val="subscript"/>
        </w:rPr>
        <w:t xml:space="preserve">w </w:t>
      </w:r>
      <w:r>
        <w:rPr>
          <w:color w:val="000000"/>
          <w:sz w:val="15"/>
          <w:szCs w:val="15"/>
        </w:rPr>
        <w:t>in beef lean and fat trimmings (P &lt; 0.001).</w:t>
      </w:r>
    </w:p>
    <w:p w14:paraId="2BD89F99" w14:textId="77777777" w:rsidR="003570ED" w:rsidRDefault="003570ED" w:rsidP="003570ED">
      <w:pPr>
        <w:pStyle w:val="Standard"/>
        <w:spacing w:before="16" w:line="244" w:lineRule="auto"/>
        <w:ind w:left="165" w:right="39" w:firstLine="252"/>
        <w:jc w:val="both"/>
      </w:pPr>
      <w:r>
        <w:rPr>
          <w:color w:val="000000"/>
          <w:sz w:val="15"/>
          <w:szCs w:val="15"/>
        </w:rPr>
        <w:t>In the current study, addition of salt decreased a</w:t>
      </w:r>
      <w:r>
        <w:rPr>
          <w:color w:val="000000"/>
          <w:sz w:val="18"/>
          <w:szCs w:val="18"/>
          <w:vertAlign w:val="subscript"/>
        </w:rPr>
        <w:t xml:space="preserve">w </w:t>
      </w:r>
      <w:r>
        <w:rPr>
          <w:color w:val="000000"/>
          <w:sz w:val="15"/>
          <w:szCs w:val="15"/>
        </w:rPr>
        <w:t xml:space="preserve">of beef trimming. This </w:t>
      </w:r>
      <w:r>
        <w:rPr>
          <w:color w:val="000000"/>
          <w:sz w:val="15"/>
          <w:szCs w:val="15"/>
        </w:rPr>
        <w:t>phenomenon has been well-documented (</w:t>
      </w:r>
      <w:r>
        <w:rPr>
          <w:color w:val="287CA5"/>
          <w:sz w:val="15"/>
          <w:szCs w:val="15"/>
        </w:rPr>
        <w:t>Nguyen, Rigalma, Coroller, Dadure, Debaets, Mounier, &amp; Vasseur, 2017</w:t>
      </w:r>
      <w:r>
        <w:rPr>
          <w:color w:val="000000"/>
          <w:sz w:val="15"/>
          <w:szCs w:val="15"/>
        </w:rPr>
        <w:t xml:space="preserve">; </w:t>
      </w:r>
      <w:r>
        <w:rPr>
          <w:color w:val="287CA5"/>
          <w:sz w:val="15"/>
          <w:szCs w:val="15"/>
        </w:rPr>
        <w:t>Matthews &amp; Strong, 2005</w:t>
      </w:r>
      <w:r>
        <w:rPr>
          <w:color w:val="000000"/>
          <w:sz w:val="15"/>
          <w:szCs w:val="15"/>
        </w:rPr>
        <w:t>). This reduction in a</w:t>
      </w:r>
      <w:r>
        <w:rPr>
          <w:color w:val="000000"/>
          <w:sz w:val="18"/>
          <w:szCs w:val="18"/>
          <w:vertAlign w:val="subscript"/>
        </w:rPr>
        <w:t xml:space="preserve">w </w:t>
      </w:r>
      <w:r>
        <w:rPr>
          <w:color w:val="000000"/>
          <w:sz w:val="15"/>
          <w:szCs w:val="15"/>
        </w:rPr>
        <w:t>suppresses microbial growth be cause water is less available to microorganisms (</w:t>
      </w:r>
      <w:r>
        <w:rPr>
          <w:color w:val="287CA5"/>
          <w:sz w:val="15"/>
          <w:szCs w:val="15"/>
        </w:rPr>
        <w:t>Scott, 1957</w:t>
      </w:r>
      <w:r>
        <w:rPr>
          <w:color w:val="000000"/>
          <w:sz w:val="15"/>
          <w:szCs w:val="15"/>
        </w:rPr>
        <w:t>). In an environment with low a</w:t>
      </w:r>
      <w:r>
        <w:rPr>
          <w:color w:val="000000"/>
          <w:sz w:val="18"/>
          <w:szCs w:val="18"/>
          <w:vertAlign w:val="subscript"/>
        </w:rPr>
        <w:t>w</w:t>
      </w:r>
      <w:r>
        <w:rPr>
          <w:color w:val="000000"/>
          <w:sz w:val="15"/>
          <w:szCs w:val="15"/>
        </w:rPr>
        <w:t>, water effluxes rapidly from the cell, causing cellular shrinkage, and changing cellular shape and metabolic activities (</w:t>
      </w:r>
      <w:r>
        <w:rPr>
          <w:color w:val="287CA5"/>
          <w:sz w:val="15"/>
          <w:szCs w:val="15"/>
        </w:rPr>
        <w:t>Morbach &amp; Krämer, 2002</w:t>
      </w:r>
      <w:r>
        <w:rPr>
          <w:color w:val="000000"/>
          <w:sz w:val="15"/>
          <w:szCs w:val="15"/>
        </w:rPr>
        <w:t xml:space="preserve">; </w:t>
      </w:r>
      <w:r>
        <w:rPr>
          <w:color w:val="287CA5"/>
          <w:sz w:val="15"/>
          <w:szCs w:val="15"/>
        </w:rPr>
        <w:t>Aronsson &amp; Rönner, 2001</w:t>
      </w:r>
      <w:r>
        <w:rPr>
          <w:color w:val="000000"/>
          <w:sz w:val="15"/>
          <w:szCs w:val="15"/>
        </w:rPr>
        <w:t xml:space="preserve">; </w:t>
      </w:r>
      <w:r>
        <w:rPr>
          <w:color w:val="287CA5"/>
          <w:sz w:val="15"/>
          <w:szCs w:val="15"/>
        </w:rPr>
        <w:t>Plemenitaš et al., 2014</w:t>
      </w:r>
      <w:r>
        <w:rPr>
          <w:color w:val="000000"/>
          <w:sz w:val="15"/>
          <w:szCs w:val="15"/>
        </w:rPr>
        <w:t>).</w:t>
      </w:r>
    </w:p>
    <w:p w14:paraId="306F6A34" w14:textId="77777777" w:rsidR="003570ED" w:rsidRDefault="003570ED" w:rsidP="003570ED">
      <w:pPr>
        <w:pStyle w:val="Standard"/>
        <w:spacing w:before="225" w:line="240" w:lineRule="auto"/>
        <w:ind w:left="164"/>
      </w:pPr>
      <w:r>
        <w:rPr>
          <w:color w:val="000000"/>
          <w:sz w:val="15"/>
          <w:szCs w:val="15"/>
        </w:rPr>
        <w:t>3.3. APC and LAB count</w:t>
      </w:r>
    </w:p>
    <w:p w14:paraId="3D4A1A84" w14:textId="77777777" w:rsidR="003570ED" w:rsidRDefault="003570ED" w:rsidP="003570ED">
      <w:pPr>
        <w:pStyle w:val="Standard"/>
        <w:spacing w:before="232" w:line="259" w:lineRule="auto"/>
        <w:ind w:left="160" w:right="37" w:firstLine="252"/>
        <w:jc w:val="both"/>
      </w:pPr>
      <w:r>
        <w:rPr>
          <w:color w:val="000000"/>
          <w:sz w:val="15"/>
          <w:szCs w:val="15"/>
        </w:rPr>
        <w:t xml:space="preserve">Aerobic plate count and LAB count of GB, SB, and BB were not in fluenced by beef deboning time (P = 0.660: </w:t>
      </w:r>
      <w:r>
        <w:rPr>
          <w:color w:val="287CA5"/>
          <w:sz w:val="15"/>
          <w:szCs w:val="15"/>
        </w:rPr>
        <w:t>Fig. 1</w:t>
      </w:r>
      <w:r>
        <w:rPr>
          <w:color w:val="000000"/>
          <w:sz w:val="15"/>
          <w:szCs w:val="15"/>
        </w:rPr>
        <w:t xml:space="preserve">). Among processing steps, APC was greatest in GB (2.72 log CFU/g; P ≤ 0.001) compared with SB and BB (2.26 and 2.25 log CFU/g, respectively; </w:t>
      </w:r>
      <w:r>
        <w:rPr>
          <w:color w:val="287CA5"/>
          <w:sz w:val="15"/>
          <w:szCs w:val="15"/>
        </w:rPr>
        <w:t>Fig. 1</w:t>
      </w:r>
      <w:r>
        <w:rPr>
          <w:color w:val="000000"/>
          <w:sz w:val="15"/>
          <w:szCs w:val="15"/>
        </w:rPr>
        <w:t xml:space="preserve">). Aerobic plate count of beef fat was 0.9 and 1.7 log CFU/g for pre- and post-rigor treatments, respectively, and did not differ (P = 0.063). As expected, APC of beef fat was 1.4 log less than that of GB (P &lt; 0.001). No LAB was detectable in raw meat mixtures sampled during sausage proces sing. In vacuum-packaged beef sausage, APC was not influenced by deboning time (P = 0.897; </w:t>
      </w:r>
      <w:r>
        <w:rPr>
          <w:color w:val="287CA5"/>
          <w:sz w:val="15"/>
          <w:szCs w:val="15"/>
        </w:rPr>
        <w:t>Fig. 2</w:t>
      </w:r>
      <w:r>
        <w:rPr>
          <w:color w:val="000000"/>
          <w:sz w:val="15"/>
          <w:szCs w:val="15"/>
        </w:rPr>
        <w:t xml:space="preserve">). However, APC was increased from 2.03 log CFU/g on d 0 to 3.22 log CFU/g on d 30 of storage (P = 0.008; </w:t>
      </w:r>
      <w:r>
        <w:rPr>
          <w:color w:val="287CA5"/>
          <w:sz w:val="15"/>
          <w:szCs w:val="15"/>
        </w:rPr>
        <w:t>Fig. 2</w:t>
      </w:r>
      <w:r>
        <w:rPr>
          <w:color w:val="000000"/>
          <w:sz w:val="15"/>
          <w:szCs w:val="15"/>
        </w:rPr>
        <w:t xml:space="preserve">). Aerobic plate counts were 3.11, 3.64, and 3.77 log CFU/g on d 60, 90, and 120 of storage, respectively, all of which were similar and did not differ from APC on d 30 (P ≥ 0.201). Lactic acid bacterial count was not influenced by deboning time (P = 0.135), but by storage time (P &lt; 0.001; </w:t>
      </w:r>
      <w:r>
        <w:rPr>
          <w:color w:val="287CA5"/>
          <w:sz w:val="15"/>
          <w:szCs w:val="15"/>
        </w:rPr>
        <w:t>Fig. 3</w:t>
      </w:r>
      <w:r>
        <w:rPr>
          <w:color w:val="000000"/>
          <w:sz w:val="15"/>
          <w:szCs w:val="15"/>
        </w:rPr>
        <w:t>). Lactic acid bacteria in vacuum-packaged sausage was increased (P &lt; 0.001) from 0.55 log CFU/g on d 0 to 2.50 log CFU/g on d 30, remained unchanged on d 60 (3.2 log CFU/g; P = 0.071), but further increased to 3.42 and 3.80 log CFU/g on d 90 and d 120, respectively (</w:t>
      </w:r>
      <w:r>
        <w:rPr>
          <w:color w:val="287CA5"/>
          <w:sz w:val="15"/>
          <w:szCs w:val="15"/>
        </w:rPr>
        <w:t>Fig. 3</w:t>
      </w:r>
      <w:r>
        <w:rPr>
          <w:color w:val="000000"/>
          <w:sz w:val="15"/>
          <w:szCs w:val="15"/>
        </w:rPr>
        <w:t>; P ≤ 0.019).</w:t>
      </w:r>
    </w:p>
    <w:p w14:paraId="5EE81AAF" w14:textId="77777777" w:rsidR="003570ED" w:rsidRDefault="003570ED" w:rsidP="003570ED">
      <w:pPr>
        <w:pStyle w:val="Standard"/>
        <w:spacing w:before="8" w:line="256" w:lineRule="auto"/>
        <w:ind w:left="164" w:right="37" w:firstLine="248"/>
      </w:pPr>
      <w:r>
        <w:rPr>
          <w:color w:val="000000"/>
          <w:sz w:val="15"/>
          <w:szCs w:val="15"/>
        </w:rPr>
        <w:t>Aerobic bacterial count in raw beef mixtures in the current study was less than what has been reported and was well below the suggested</w:t>
      </w:r>
    </w:p>
    <w:p w14:paraId="09549886"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0D6C0434" w14:textId="77777777" w:rsidR="003570ED" w:rsidRDefault="003570ED" w:rsidP="003570ED">
      <w:pPr>
        <w:pStyle w:val="Standard"/>
        <w:spacing w:line="240" w:lineRule="auto"/>
        <w:jc w:val="center"/>
      </w:pPr>
      <w:r>
        <w:rPr>
          <w:color w:val="000000"/>
          <w:sz w:val="12"/>
          <w:szCs w:val="12"/>
        </w:rPr>
        <w:t xml:space="preserve">A.T. Sukumaran et al. </w:t>
      </w:r>
      <w:r>
        <w:rPr>
          <w:i/>
          <w:color w:val="000000"/>
          <w:sz w:val="12"/>
          <w:szCs w:val="12"/>
        </w:rPr>
        <w:t>Meat Science 139 (2018) 49–55</w:t>
      </w:r>
    </w:p>
    <w:p w14:paraId="03EA0939"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44708A60" w14:textId="77777777" w:rsidR="003570ED" w:rsidRDefault="003570ED" w:rsidP="003570ED">
      <w:pPr>
        <w:pStyle w:val="Standard"/>
        <w:spacing w:before="1667" w:line="674" w:lineRule="auto"/>
      </w:pPr>
      <w:r>
        <w:rPr>
          <w:rFonts w:ascii="Times" w:eastAsia="Times" w:hAnsi="Times" w:cs="Times"/>
          <w:color w:val="231F20"/>
          <w:sz w:val="2"/>
          <w:szCs w:val="2"/>
        </w:rPr>
        <w:t>g /</w:t>
      </w:r>
    </w:p>
    <w:p w14:paraId="2C796755" w14:textId="77777777" w:rsidR="003570ED" w:rsidRDefault="003570ED" w:rsidP="003570ED">
      <w:pPr>
        <w:pStyle w:val="Standard"/>
        <w:spacing w:before="84" w:line="240" w:lineRule="auto"/>
      </w:pPr>
      <w:r>
        <w:rPr>
          <w:rFonts w:ascii="Times" w:eastAsia="Times" w:hAnsi="Times" w:cs="Times"/>
          <w:color w:val="231F20"/>
          <w:sz w:val="2"/>
          <w:szCs w:val="2"/>
        </w:rPr>
        <w:t>U</w:t>
      </w:r>
    </w:p>
    <w:p w14:paraId="487DF548" w14:textId="77777777" w:rsidR="003570ED" w:rsidRDefault="003570ED" w:rsidP="003570ED">
      <w:pPr>
        <w:pStyle w:val="Standard"/>
        <w:spacing w:before="95" w:line="240" w:lineRule="auto"/>
      </w:pPr>
      <w:r>
        <w:rPr>
          <w:rFonts w:ascii="Times" w:eastAsia="Times" w:hAnsi="Times" w:cs="Times"/>
          <w:color w:val="231F20"/>
          <w:sz w:val="2"/>
          <w:szCs w:val="2"/>
        </w:rPr>
        <w:t>F</w:t>
      </w:r>
    </w:p>
    <w:p w14:paraId="233796FC" w14:textId="77777777" w:rsidR="003570ED" w:rsidRDefault="003570ED" w:rsidP="003570ED">
      <w:pPr>
        <w:pStyle w:val="Standard"/>
        <w:spacing w:before="114" w:line="194" w:lineRule="auto"/>
      </w:pPr>
      <w:r>
        <w:rPr>
          <w:rFonts w:ascii="Times" w:eastAsia="Times" w:hAnsi="Times" w:cs="Times"/>
          <w:color w:val="231F20"/>
          <w:sz w:val="2"/>
          <w:szCs w:val="2"/>
        </w:rPr>
        <w:t>C</w:t>
      </w:r>
    </w:p>
    <w:p w14:paraId="26A8147F" w14:textId="77777777" w:rsidR="003570ED" w:rsidRDefault="003570ED" w:rsidP="003570ED">
      <w:pPr>
        <w:pStyle w:val="Standard"/>
        <w:spacing w:before="50" w:line="240" w:lineRule="auto"/>
      </w:pPr>
      <w:r>
        <w:rPr>
          <w:rFonts w:ascii="Times" w:eastAsia="Times" w:hAnsi="Times" w:cs="Times"/>
          <w:color w:val="231F20"/>
          <w:sz w:val="2"/>
          <w:szCs w:val="2"/>
        </w:rPr>
        <w:t>g</w:t>
      </w:r>
    </w:p>
    <w:p w14:paraId="1927028A" w14:textId="77777777" w:rsidR="003570ED" w:rsidRDefault="003570ED" w:rsidP="003570ED">
      <w:pPr>
        <w:pStyle w:val="Standard"/>
        <w:spacing w:before="85" w:line="240" w:lineRule="auto"/>
      </w:pPr>
      <w:r>
        <w:rPr>
          <w:rFonts w:ascii="Times" w:eastAsia="Times" w:hAnsi="Times" w:cs="Times"/>
          <w:color w:val="231F20"/>
          <w:sz w:val="2"/>
          <w:szCs w:val="2"/>
        </w:rPr>
        <w:t>o</w:t>
      </w:r>
    </w:p>
    <w:p w14:paraId="089916AB" w14:textId="77777777" w:rsidR="003570ED" w:rsidRDefault="003570ED" w:rsidP="003570ED">
      <w:pPr>
        <w:pStyle w:val="Standard"/>
        <w:spacing w:before="47" w:line="240" w:lineRule="auto"/>
      </w:pPr>
      <w:r>
        <w:rPr>
          <w:rFonts w:ascii="Times" w:eastAsia="Times" w:hAnsi="Times" w:cs="Times"/>
          <w:color w:val="231F20"/>
          <w:sz w:val="2"/>
          <w:szCs w:val="2"/>
        </w:rPr>
        <w:t>l</w:t>
      </w:r>
    </w:p>
    <w:p w14:paraId="740749E0" w14:textId="77777777" w:rsidR="003570ED" w:rsidRDefault="003570ED" w:rsidP="003570ED">
      <w:pPr>
        <w:pStyle w:val="Standard"/>
        <w:spacing w:line="604" w:lineRule="auto"/>
      </w:pPr>
      <w:r>
        <w:rPr>
          <w:rFonts w:ascii="Times" w:eastAsia="Times" w:hAnsi="Times" w:cs="Times"/>
          <w:color w:val="231F20"/>
          <w:sz w:val="17"/>
          <w:szCs w:val="17"/>
        </w:rPr>
        <w:t>3.0 2.5 2.0 1.5 1.0 0.5 0.0</w:t>
      </w:r>
    </w:p>
    <w:p w14:paraId="56AA1993" w14:textId="77777777" w:rsidR="003570ED" w:rsidRDefault="003570ED" w:rsidP="003570ED">
      <w:pPr>
        <w:pStyle w:val="Standard"/>
        <w:spacing w:line="240" w:lineRule="auto"/>
      </w:pPr>
      <w:r>
        <w:rPr>
          <w:rFonts w:ascii="Times" w:eastAsia="Times" w:hAnsi="Times" w:cs="Times"/>
          <w:color w:val="231F20"/>
          <w:sz w:val="28"/>
          <w:szCs w:val="28"/>
          <w:vertAlign w:val="superscript"/>
        </w:rPr>
        <w:t xml:space="preserve">a </w:t>
      </w:r>
      <w:r>
        <w:rPr>
          <w:rFonts w:ascii="Times" w:eastAsia="Times" w:hAnsi="Times" w:cs="Times"/>
          <w:color w:val="231F20"/>
          <w:sz w:val="17"/>
          <w:szCs w:val="17"/>
        </w:rPr>
        <w:t>a</w:t>
      </w:r>
    </w:p>
    <w:p w14:paraId="56A3F857" w14:textId="77777777" w:rsidR="003570ED" w:rsidRDefault="003570ED" w:rsidP="003570ED">
      <w:pPr>
        <w:pStyle w:val="Standard"/>
        <w:spacing w:before="177" w:line="240" w:lineRule="auto"/>
      </w:pPr>
      <w:r>
        <w:rPr>
          <w:rFonts w:ascii="Times" w:eastAsia="Times" w:hAnsi="Times" w:cs="Times"/>
          <w:color w:val="231F20"/>
          <w:sz w:val="17"/>
          <w:szCs w:val="17"/>
        </w:rPr>
        <w:t>a</w:t>
      </w:r>
    </w:p>
    <w:p w14:paraId="6B7AF692" w14:textId="77777777" w:rsidR="003570ED" w:rsidRDefault="003570ED" w:rsidP="003570ED">
      <w:pPr>
        <w:pStyle w:val="Standard"/>
        <w:spacing w:before="68" w:line="240" w:lineRule="auto"/>
      </w:pPr>
      <w:r>
        <w:rPr>
          <w:noProof/>
        </w:rPr>
        <w:drawing>
          <wp:inline distT="0" distB="0" distL="0" distR="0" wp14:anchorId="0B0D6D4F" wp14:editId="1D2727E6">
            <wp:extent cx="1650217" cy="1814718"/>
            <wp:effectExtent l="0" t="0" r="7133" b="0"/>
            <wp:docPr id="3" name="image6.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1650217" cy="1814718"/>
                    </a:xfrm>
                    <a:prstGeom prst="rect">
                      <a:avLst/>
                    </a:prstGeom>
                    <a:noFill/>
                    <a:ln>
                      <a:noFill/>
                      <a:prstDash/>
                    </a:ln>
                  </pic:spPr>
                </pic:pic>
              </a:graphicData>
            </a:graphic>
          </wp:inline>
        </w:drawing>
      </w:r>
      <w:r>
        <w:rPr>
          <w:rFonts w:ascii="Times" w:eastAsia="Times" w:hAnsi="Times" w:cs="Times"/>
          <w:color w:val="231F20"/>
          <w:sz w:val="28"/>
          <w:szCs w:val="28"/>
          <w:u w:val="single"/>
          <w:vertAlign w:val="superscript"/>
        </w:rPr>
        <w:t xml:space="preserve">b </w:t>
      </w:r>
      <w:r>
        <w:rPr>
          <w:rFonts w:ascii="Times" w:eastAsia="Times" w:hAnsi="Times" w:cs="Times"/>
          <w:color w:val="231F20"/>
          <w:sz w:val="17"/>
          <w:szCs w:val="17"/>
          <w:u w:val="single"/>
        </w:rPr>
        <w:t>b</w:t>
      </w:r>
    </w:p>
    <w:p w14:paraId="67523E7D" w14:textId="77777777" w:rsidR="003570ED" w:rsidRDefault="003570ED" w:rsidP="003570ED">
      <w:pPr>
        <w:pStyle w:val="Standard"/>
        <w:spacing w:line="278" w:lineRule="auto"/>
      </w:pPr>
      <w:r>
        <w:rPr>
          <w:color w:val="000000"/>
          <w:sz w:val="12"/>
          <w:szCs w:val="12"/>
        </w:rPr>
        <w:t>Fig. 1. Aerobic plate count (mean ± SEM; log CFU/g) of raw beef mixtures deboned pre- and post-rigor (group on the left), averaged across three processing steps and of raw beef mixtures from three processing steps (group on the right; grinding - GB; salting - SB, and batter formulation - BB), averaged across de boning times. Within each group, means without common let ters differ (P ≤ 0.05). Detection limit was 1 log CFU/g.</w:t>
      </w:r>
    </w:p>
    <w:p w14:paraId="59344090"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5" w:space="720" w:equalWidth="0">
            <w:col w:w="2084" w:space="0"/>
            <w:col w:w="2084" w:space="0"/>
            <w:col w:w="2084" w:space="0"/>
            <w:col w:w="2084" w:space="0"/>
            <w:col w:w="2083" w:space="0"/>
          </w:cols>
        </w:sectPr>
      </w:pPr>
    </w:p>
    <w:p w14:paraId="449DB785" w14:textId="77777777" w:rsidR="003570ED" w:rsidRDefault="003570ED" w:rsidP="003570ED">
      <w:pPr>
        <w:pStyle w:val="Standard"/>
        <w:spacing w:before="2130" w:line="240" w:lineRule="auto"/>
        <w:ind w:left="910"/>
      </w:pPr>
      <w:r>
        <w:rPr>
          <w:rFonts w:ascii="Times" w:eastAsia="Times" w:hAnsi="Times" w:cs="Times"/>
          <w:color w:val="231F20"/>
          <w:sz w:val="17"/>
          <w:szCs w:val="17"/>
        </w:rPr>
        <w:t>Pre-rigor Post-rigor GB SB BB</w:t>
      </w:r>
    </w:p>
    <w:p w14:paraId="71962FAC"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29AFC8D4" w14:textId="77777777" w:rsidR="003570ED" w:rsidRDefault="003570ED" w:rsidP="003570ED">
      <w:pPr>
        <w:pStyle w:val="Standard"/>
        <w:spacing w:before="432" w:line="256" w:lineRule="auto"/>
        <w:ind w:right="190" w:firstLine="4"/>
        <w:jc w:val="both"/>
      </w:pPr>
      <w:r>
        <w:rPr>
          <w:color w:val="000000"/>
          <w:sz w:val="15"/>
          <w:szCs w:val="15"/>
        </w:rPr>
        <w:t>spoilage level of 7 log CFU/g for raw meat (</w:t>
      </w:r>
      <w:r>
        <w:rPr>
          <w:color w:val="287CA5"/>
          <w:sz w:val="15"/>
          <w:szCs w:val="15"/>
        </w:rPr>
        <w:t>Ercolini et al., 2011</w:t>
      </w:r>
      <w:r>
        <w:rPr>
          <w:color w:val="000000"/>
          <w:sz w:val="15"/>
          <w:szCs w:val="15"/>
        </w:rPr>
        <w:t>). The count has been reported at 4.7 log CFU/g or more in coarsely ground beef (</w:t>
      </w:r>
      <w:r>
        <w:rPr>
          <w:color w:val="287CA5"/>
          <w:sz w:val="15"/>
          <w:szCs w:val="15"/>
        </w:rPr>
        <w:t>Eisel, Linton, &amp; Muriana, 1997; Jay, Vilai, &amp; Hughes, 2003</w:t>
      </w:r>
      <w:r>
        <w:rPr>
          <w:color w:val="000000"/>
          <w:sz w:val="15"/>
          <w:szCs w:val="15"/>
        </w:rPr>
        <w:t>), which was greater than an average of 2.7 and 1.3 log CFU/g in both GB and beef fat, respectively, in the current study. Aerobic bacterial load greatly depends on many factors such as conditions of incoming whole muscles (</w:t>
      </w:r>
      <w:r>
        <w:rPr>
          <w:color w:val="287CA5"/>
          <w:sz w:val="15"/>
          <w:szCs w:val="15"/>
        </w:rPr>
        <w:t>Dorsa, Cutter, &amp; Sirgusa, 1998; Eisel et al., 1997</w:t>
      </w:r>
      <w:r>
        <w:rPr>
          <w:color w:val="000000"/>
          <w:sz w:val="15"/>
          <w:szCs w:val="15"/>
        </w:rPr>
        <w:t>), slaughter equipment, and hygiene of slaughter environment (</w:t>
      </w:r>
      <w:r>
        <w:rPr>
          <w:color w:val="287CA5"/>
          <w:sz w:val="15"/>
          <w:szCs w:val="15"/>
        </w:rPr>
        <w:t>Phillips, Jordan, Morris, Jenson, &amp; Sumner, 2006</w:t>
      </w:r>
      <w:r>
        <w:rPr>
          <w:color w:val="000000"/>
          <w:sz w:val="15"/>
          <w:szCs w:val="15"/>
        </w:rPr>
        <w:t>). Beef quarters with 3 to 5 log CFU/ cm</w:t>
      </w:r>
      <w:r>
        <w:rPr>
          <w:color w:val="000000"/>
          <w:sz w:val="18"/>
          <w:szCs w:val="18"/>
          <w:vertAlign w:val="superscript"/>
        </w:rPr>
        <w:t xml:space="preserve">2 </w:t>
      </w:r>
      <w:r>
        <w:rPr>
          <w:color w:val="000000"/>
          <w:sz w:val="15"/>
          <w:szCs w:val="15"/>
        </w:rPr>
        <w:t>of APC resulted in an APC of 5 to 7 log CFU/g in ground beef patties (</w:t>
      </w:r>
      <w:r>
        <w:rPr>
          <w:color w:val="287CA5"/>
          <w:sz w:val="15"/>
          <w:szCs w:val="15"/>
        </w:rPr>
        <w:t>Oblinger, Kennedy Jr, &amp; West, 1984</w:t>
      </w:r>
      <w:r>
        <w:rPr>
          <w:color w:val="000000"/>
          <w:sz w:val="15"/>
          <w:szCs w:val="15"/>
        </w:rPr>
        <w:t>). Raw meat emulsion contained on average 2.7 log CFU/g of Enterobacteriaceae/g, 5.2 log CFU/g of mesophoilic count, and 4 log CFU/g of LAB count (</w:t>
      </w:r>
      <w:r>
        <w:rPr>
          <w:color w:val="287CA5"/>
          <w:sz w:val="15"/>
          <w:szCs w:val="15"/>
        </w:rPr>
        <w:t>Borch, Nerbrink, &amp; Svensson, 1988</w:t>
      </w:r>
      <w:r>
        <w:rPr>
          <w:color w:val="000000"/>
          <w:sz w:val="15"/>
          <w:szCs w:val="15"/>
        </w:rPr>
        <w:t xml:space="preserve">). Beef trimming in the current study was single-sourced; therefore, it had less bacterial count than multi-sourced trimmings </w:t>
      </w:r>
      <w:r>
        <w:rPr>
          <w:color w:val="000000"/>
          <w:sz w:val="15"/>
          <w:szCs w:val="15"/>
        </w:rPr>
        <w:t>typically used in the industry (</w:t>
      </w:r>
      <w:r>
        <w:rPr>
          <w:color w:val="287CA5"/>
          <w:sz w:val="15"/>
          <w:szCs w:val="15"/>
        </w:rPr>
        <w:t>Pohlman et al., 2009</w:t>
      </w:r>
      <w:r>
        <w:rPr>
          <w:color w:val="000000"/>
          <w:sz w:val="15"/>
          <w:szCs w:val="15"/>
        </w:rPr>
        <w:t xml:space="preserve">). Moreover, </w:t>
      </w:r>
      <w:r>
        <w:rPr>
          <w:color w:val="287CA5"/>
          <w:sz w:val="15"/>
          <w:szCs w:val="15"/>
        </w:rPr>
        <w:t xml:space="preserve">Chung, Dickson, and Grouse (1989) </w:t>
      </w:r>
      <w:r>
        <w:rPr>
          <w:color w:val="000000"/>
          <w:sz w:val="15"/>
          <w:szCs w:val="15"/>
        </w:rPr>
        <w:t>reported that pro liferation of bacteria was slower in fat tissues than in lean tissues, possibly because fat tissues lack protein required for microbial growth (</w:t>
      </w:r>
      <w:r>
        <w:rPr>
          <w:color w:val="287CA5"/>
          <w:sz w:val="15"/>
          <w:szCs w:val="15"/>
        </w:rPr>
        <w:t>Grau &amp; Vanderlinde, 1993</w:t>
      </w:r>
      <w:r>
        <w:rPr>
          <w:color w:val="000000"/>
          <w:sz w:val="15"/>
          <w:szCs w:val="15"/>
        </w:rPr>
        <w:t xml:space="preserve">). Hence, the mixing of fat during sausage processing would not increase bacterial load of sausage batter because in addition to having less APC, fat trimming was used with much smaller proportion than lean triming in sausage formulation. Results in the current study, showing a reduction of APC throughout sausage processing, were similar to those reported by </w:t>
      </w:r>
      <w:r>
        <w:rPr>
          <w:color w:val="287CA5"/>
          <w:sz w:val="15"/>
          <w:szCs w:val="15"/>
        </w:rPr>
        <w:t>Sachindra et al. (2005)</w:t>
      </w:r>
      <w:r>
        <w:rPr>
          <w:color w:val="000000"/>
          <w:sz w:val="15"/>
          <w:szCs w:val="15"/>
        </w:rPr>
        <w:t>, with 5.4 log CFU/g in raw minced buffalo meat, 5 log CFU/g in sausage batter, and 3.7 log CFU/g in cooked sausage. This might be caused by salt addition, batter emulsification, and a dilution effect by fat</w:t>
      </w:r>
    </w:p>
    <w:p w14:paraId="57B843DB" w14:textId="77777777" w:rsidR="003570ED" w:rsidRDefault="003570ED" w:rsidP="003570ED">
      <w:pPr>
        <w:pStyle w:val="Standard"/>
        <w:spacing w:before="277" w:line="240" w:lineRule="auto"/>
        <w:ind w:left="366"/>
      </w:pPr>
      <w:r>
        <w:rPr>
          <w:rFonts w:ascii="Times" w:eastAsia="Times" w:hAnsi="Times" w:cs="Times"/>
          <w:color w:val="231F20"/>
          <w:sz w:val="17"/>
          <w:szCs w:val="17"/>
        </w:rPr>
        <w:t>4.5</w:t>
      </w:r>
    </w:p>
    <w:p w14:paraId="53101667" w14:textId="77777777" w:rsidR="003570ED" w:rsidRDefault="003570ED" w:rsidP="003570ED">
      <w:pPr>
        <w:pStyle w:val="Standard"/>
        <w:spacing w:line="259" w:lineRule="auto"/>
        <w:ind w:left="160" w:right="30" w:firstLine="2"/>
        <w:jc w:val="both"/>
      </w:pPr>
      <w:r>
        <w:rPr>
          <w:color w:val="000000"/>
          <w:sz w:val="15"/>
          <w:szCs w:val="15"/>
        </w:rPr>
        <w:t>trimming. Salt addition suppresses APC (</w:t>
      </w:r>
      <w:r>
        <w:rPr>
          <w:color w:val="287CA5"/>
          <w:sz w:val="15"/>
          <w:szCs w:val="15"/>
        </w:rPr>
        <w:t>Tyopponen, Petaja, &amp; Mattila Sandholm, 2003</w:t>
      </w:r>
      <w:r>
        <w:rPr>
          <w:color w:val="000000"/>
          <w:sz w:val="15"/>
          <w:szCs w:val="15"/>
        </w:rPr>
        <w:t xml:space="preserve">); whereas salt reduction in sausage increases APC </w:t>
      </w:r>
      <w:r>
        <w:rPr>
          <w:color w:val="000000"/>
          <w:sz w:val="15"/>
          <w:szCs w:val="15"/>
        </w:rPr>
        <w:lastRenderedPageBreak/>
        <w:t>(</w:t>
      </w:r>
      <w:r>
        <w:rPr>
          <w:color w:val="287CA5"/>
          <w:sz w:val="15"/>
          <w:szCs w:val="15"/>
        </w:rPr>
        <w:t>Aaslyng, Vestergaard, &amp; Koch, 2014</w:t>
      </w:r>
      <w:r>
        <w:rPr>
          <w:color w:val="000000"/>
          <w:sz w:val="15"/>
          <w:szCs w:val="15"/>
        </w:rPr>
        <w:t xml:space="preserve">). Similarly, </w:t>
      </w:r>
      <w:r>
        <w:rPr>
          <w:color w:val="287CA5"/>
          <w:sz w:val="15"/>
          <w:szCs w:val="15"/>
        </w:rPr>
        <w:t xml:space="preserve">O'Connor, Brewer, McKeith, Novakofski, and Carr (1993) </w:t>
      </w:r>
      <w:r>
        <w:rPr>
          <w:color w:val="000000"/>
          <w:sz w:val="15"/>
          <w:szCs w:val="15"/>
        </w:rPr>
        <w:t>reported that ground pork for mulated with NaCl (2.5% w/w) had up to 1 log CFU/g of APC less than ground pork without salt addition until d 14 of storage at 4 °C. Salt concentration in the current study was only 1.5%, resulting in an ap proximately 0.5-log reduction, less effective in decreasing bacterial load than 2.5% salt. However, as stated previously, more salt addition was not advised for pre-rigor processing because more salt would need to be added later for protein extraction and binding. Reduction of APC from raw sausage batter to cooked sausage was expected because of lethal effect of thermal processing. It has been concluded that most APC of cooked sausage was caused by cross-contamination from processing environment, packers' hands and working surfaces (</w:t>
      </w:r>
      <w:r>
        <w:rPr>
          <w:color w:val="287CA5"/>
          <w:sz w:val="15"/>
          <w:szCs w:val="15"/>
        </w:rPr>
        <w:t>Dykes, Cloete, &amp; von Holy, 1991</w:t>
      </w:r>
      <w:r>
        <w:rPr>
          <w:color w:val="000000"/>
          <w:sz w:val="15"/>
          <w:szCs w:val="15"/>
        </w:rPr>
        <w:t>).</w:t>
      </w:r>
    </w:p>
    <w:p w14:paraId="2B385233" w14:textId="77777777" w:rsidR="003570ED" w:rsidRDefault="003570ED" w:rsidP="003570ED">
      <w:pPr>
        <w:pStyle w:val="Standard"/>
        <w:spacing w:before="7" w:line="259" w:lineRule="auto"/>
        <w:ind w:left="159" w:right="30" w:firstLine="255"/>
        <w:jc w:val="both"/>
      </w:pPr>
      <w:r>
        <w:rPr>
          <w:color w:val="287CA5"/>
          <w:sz w:val="15"/>
          <w:szCs w:val="15"/>
        </w:rPr>
        <w:t xml:space="preserve">Sachindra et al. (2005) </w:t>
      </w:r>
      <w:r>
        <w:rPr>
          <w:color w:val="000000"/>
          <w:sz w:val="15"/>
          <w:szCs w:val="15"/>
        </w:rPr>
        <w:t>reported that the total plate count in va cuum-</w:t>
      </w:r>
      <w:r>
        <w:rPr>
          <w:color w:val="000000"/>
          <w:sz w:val="15"/>
          <w:szCs w:val="15"/>
        </w:rPr>
        <w:t>packaged, cooked buffalo sausage was increased by 2.3 log CFU/ g in 32 d of storage at 4 °C. However, in the current study, APC in cooked sausage was only increased by 1.2 log CFU/g from d 0 to d 30 in vacuum packages at 4 °C. Moreover, there was no further increase in APC from d 30 to d 120, which could be explained by the growth of LAB, producing lactic acid and carbon dioxide and causing pH to de cline (</w:t>
      </w:r>
      <w:r>
        <w:rPr>
          <w:color w:val="287CA5"/>
          <w:sz w:val="15"/>
          <w:szCs w:val="15"/>
        </w:rPr>
        <w:t>Korkeala, Lindroth, Ahvenainen, &amp; Alanko, 1987</w:t>
      </w:r>
      <w:r>
        <w:rPr>
          <w:color w:val="000000"/>
          <w:sz w:val="15"/>
          <w:szCs w:val="15"/>
        </w:rPr>
        <w:t xml:space="preserve">). Carbon di oxide also made the package environment more anaerobic, which was not suitable for the growth of aerobic bacteria. </w:t>
      </w:r>
      <w:r>
        <w:rPr>
          <w:color w:val="287CA5"/>
          <w:sz w:val="15"/>
          <w:szCs w:val="15"/>
        </w:rPr>
        <w:t xml:space="preserve">Sachindra et al. (2005) </w:t>
      </w:r>
      <w:r>
        <w:rPr>
          <w:color w:val="000000"/>
          <w:sz w:val="15"/>
          <w:szCs w:val="15"/>
        </w:rPr>
        <w:t>reported that LAB was increased at a greater rate (5 log CFU/g) than APC (2 log CFU/g) in vacuum packages of cooked sausage at 4 °C for</w:t>
      </w:r>
    </w:p>
    <w:p w14:paraId="2AB62DC5" w14:textId="77777777" w:rsidR="003570ED" w:rsidRDefault="003570ED" w:rsidP="003570ED">
      <w:pPr>
        <w:pStyle w:val="Standard"/>
        <w:spacing w:before="239" w:line="240" w:lineRule="auto"/>
        <w:ind w:right="31"/>
        <w:jc w:val="right"/>
      </w:pPr>
      <w:r>
        <w:rPr>
          <w:color w:val="000000"/>
          <w:sz w:val="12"/>
          <w:szCs w:val="12"/>
        </w:rPr>
        <w:t>Fig. 2. Aerobic plate count (mean ± SEM; log CFU/g) of</w:t>
      </w:r>
    </w:p>
    <w:p w14:paraId="2A069DBC"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5ADDED7E" w14:textId="77777777" w:rsidR="003570ED" w:rsidRDefault="003570ED" w:rsidP="003570ED">
      <w:pPr>
        <w:pStyle w:val="Standard"/>
        <w:spacing w:before="1285" w:line="674" w:lineRule="auto"/>
      </w:pPr>
      <w:r>
        <w:rPr>
          <w:rFonts w:ascii="Times" w:eastAsia="Times" w:hAnsi="Times" w:cs="Times"/>
          <w:color w:val="231F20"/>
          <w:sz w:val="2"/>
          <w:szCs w:val="2"/>
        </w:rPr>
        <w:t>g /</w:t>
      </w:r>
    </w:p>
    <w:p w14:paraId="0EECDD75" w14:textId="77777777" w:rsidR="003570ED" w:rsidRDefault="003570ED" w:rsidP="003570ED">
      <w:pPr>
        <w:pStyle w:val="Standard"/>
        <w:spacing w:before="84" w:line="194" w:lineRule="auto"/>
      </w:pPr>
      <w:r>
        <w:rPr>
          <w:rFonts w:ascii="Times" w:eastAsia="Times" w:hAnsi="Times" w:cs="Times"/>
          <w:color w:val="231F20"/>
          <w:sz w:val="2"/>
          <w:szCs w:val="2"/>
        </w:rPr>
        <w:t>UF</w:t>
      </w:r>
    </w:p>
    <w:p w14:paraId="2FF88D73" w14:textId="77777777" w:rsidR="003570ED" w:rsidRDefault="003570ED" w:rsidP="003570ED">
      <w:pPr>
        <w:pStyle w:val="Standard"/>
        <w:spacing w:before="35" w:line="194" w:lineRule="auto"/>
      </w:pPr>
      <w:r>
        <w:rPr>
          <w:rFonts w:ascii="Times" w:eastAsia="Times" w:hAnsi="Times" w:cs="Times"/>
          <w:color w:val="231F20"/>
          <w:sz w:val="2"/>
          <w:szCs w:val="2"/>
        </w:rPr>
        <w:t>C</w:t>
      </w:r>
    </w:p>
    <w:p w14:paraId="6D57343D" w14:textId="77777777" w:rsidR="003570ED" w:rsidRDefault="003570ED" w:rsidP="003570ED">
      <w:pPr>
        <w:pStyle w:val="Standard"/>
        <w:spacing w:before="50" w:line="240" w:lineRule="auto"/>
      </w:pPr>
      <w:r>
        <w:rPr>
          <w:rFonts w:ascii="Times" w:eastAsia="Times" w:hAnsi="Times" w:cs="Times"/>
          <w:color w:val="231F20"/>
          <w:sz w:val="2"/>
          <w:szCs w:val="2"/>
        </w:rPr>
        <w:t>g</w:t>
      </w:r>
    </w:p>
    <w:p w14:paraId="457C0298" w14:textId="77777777" w:rsidR="003570ED" w:rsidRDefault="003570ED" w:rsidP="003570ED">
      <w:pPr>
        <w:pStyle w:val="Standard"/>
        <w:spacing w:before="85" w:line="240" w:lineRule="auto"/>
      </w:pPr>
      <w:r>
        <w:rPr>
          <w:rFonts w:ascii="Times" w:eastAsia="Times" w:hAnsi="Times" w:cs="Times"/>
          <w:color w:val="231F20"/>
          <w:sz w:val="2"/>
          <w:szCs w:val="2"/>
        </w:rPr>
        <w:t>o</w:t>
      </w:r>
    </w:p>
    <w:p w14:paraId="417C5391" w14:textId="77777777" w:rsidR="003570ED" w:rsidRDefault="003570ED" w:rsidP="003570ED">
      <w:pPr>
        <w:pStyle w:val="Standard"/>
        <w:spacing w:before="47" w:line="240" w:lineRule="auto"/>
      </w:pPr>
      <w:r>
        <w:rPr>
          <w:rFonts w:ascii="Times" w:eastAsia="Times" w:hAnsi="Times" w:cs="Times"/>
          <w:color w:val="231F20"/>
          <w:sz w:val="2"/>
          <w:szCs w:val="2"/>
        </w:rPr>
        <w:t>l</w:t>
      </w:r>
    </w:p>
    <w:p w14:paraId="599EAD0D" w14:textId="77777777" w:rsidR="003570ED" w:rsidRDefault="003570ED" w:rsidP="003570ED">
      <w:pPr>
        <w:pStyle w:val="Standard"/>
        <w:spacing w:line="396" w:lineRule="auto"/>
      </w:pPr>
      <w:r>
        <w:rPr>
          <w:rFonts w:ascii="Times" w:eastAsia="Times" w:hAnsi="Times" w:cs="Times"/>
          <w:color w:val="231F20"/>
          <w:sz w:val="17"/>
          <w:szCs w:val="17"/>
        </w:rPr>
        <w:t>4.0 3.5 3.0 2.5 2.0 1.5 1.0 0.5 0.0</w:t>
      </w:r>
    </w:p>
    <w:p w14:paraId="3761C196" w14:textId="77777777" w:rsidR="003570ED" w:rsidRDefault="003570ED" w:rsidP="003570ED">
      <w:pPr>
        <w:pStyle w:val="Standard"/>
        <w:spacing w:line="240" w:lineRule="auto"/>
      </w:pPr>
      <w:r>
        <w:rPr>
          <w:rFonts w:ascii="Times" w:eastAsia="Times" w:hAnsi="Times" w:cs="Times"/>
          <w:color w:val="231F20"/>
          <w:sz w:val="17"/>
          <w:szCs w:val="17"/>
        </w:rPr>
        <w:t>a a</w:t>
      </w:r>
    </w:p>
    <w:p w14:paraId="3C4C669E" w14:textId="77777777" w:rsidR="003570ED" w:rsidRDefault="003570ED" w:rsidP="003570ED">
      <w:pPr>
        <w:pStyle w:val="Standard"/>
        <w:spacing w:before="1224" w:line="240" w:lineRule="auto"/>
      </w:pPr>
      <w:r>
        <w:rPr>
          <w:rFonts w:ascii="Times" w:eastAsia="Times" w:hAnsi="Times" w:cs="Times"/>
          <w:color w:val="231F20"/>
          <w:sz w:val="17"/>
          <w:szCs w:val="17"/>
        </w:rPr>
        <w:t>b</w:t>
      </w:r>
    </w:p>
    <w:p w14:paraId="5A098E0B" w14:textId="77777777" w:rsidR="003570ED" w:rsidRDefault="003570ED" w:rsidP="003570ED">
      <w:pPr>
        <w:pStyle w:val="Standard"/>
        <w:spacing w:before="31" w:line="240" w:lineRule="auto"/>
      </w:pPr>
      <w:r>
        <w:rPr>
          <w:rFonts w:ascii="Times" w:eastAsia="Times" w:hAnsi="Times" w:cs="Times"/>
          <w:color w:val="231F20"/>
          <w:sz w:val="28"/>
          <w:szCs w:val="28"/>
          <w:vertAlign w:val="subscript"/>
        </w:rPr>
        <w:t xml:space="preserve">a </w:t>
      </w:r>
      <w:r>
        <w:rPr>
          <w:rFonts w:ascii="Times" w:eastAsia="Times" w:hAnsi="Times" w:cs="Times"/>
          <w:color w:val="231F20"/>
          <w:sz w:val="17"/>
          <w:szCs w:val="17"/>
        </w:rPr>
        <w:t>a</w:t>
      </w:r>
    </w:p>
    <w:p w14:paraId="3B9B233F" w14:textId="77777777" w:rsidR="003570ED" w:rsidRDefault="003570ED" w:rsidP="003570ED">
      <w:pPr>
        <w:pStyle w:val="Standard"/>
        <w:spacing w:before="72" w:line="240" w:lineRule="auto"/>
      </w:pPr>
      <w:r>
        <w:rPr>
          <w:noProof/>
        </w:rPr>
        <w:drawing>
          <wp:inline distT="0" distB="0" distL="0" distR="0" wp14:anchorId="02326A61" wp14:editId="6327AF77">
            <wp:extent cx="2162921" cy="1647383"/>
            <wp:effectExtent l="0" t="0" r="8779" b="0"/>
            <wp:docPr id="4"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162921" cy="1647383"/>
                    </a:xfrm>
                    <a:prstGeom prst="rect">
                      <a:avLst/>
                    </a:prstGeom>
                    <a:noFill/>
                    <a:ln>
                      <a:noFill/>
                      <a:prstDash/>
                    </a:ln>
                  </pic:spPr>
                </pic:pic>
              </a:graphicData>
            </a:graphic>
          </wp:inline>
        </w:drawing>
      </w:r>
      <w:r>
        <w:rPr>
          <w:rFonts w:ascii="Times" w:eastAsia="Times" w:hAnsi="Times" w:cs="Times"/>
          <w:color w:val="231F20"/>
          <w:sz w:val="28"/>
          <w:szCs w:val="28"/>
          <w:vertAlign w:val="superscript"/>
        </w:rPr>
        <w:t xml:space="preserve">a </w:t>
      </w:r>
      <w:r>
        <w:rPr>
          <w:rFonts w:ascii="Times" w:eastAsia="Times" w:hAnsi="Times" w:cs="Times"/>
          <w:color w:val="231F20"/>
          <w:sz w:val="17"/>
          <w:szCs w:val="17"/>
        </w:rPr>
        <w:t>a</w:t>
      </w:r>
    </w:p>
    <w:p w14:paraId="49A40D44" w14:textId="77777777" w:rsidR="003570ED" w:rsidRDefault="003570ED" w:rsidP="003570ED">
      <w:pPr>
        <w:pStyle w:val="Standard"/>
      </w:pPr>
      <w:r>
        <w:rPr>
          <w:color w:val="000000"/>
          <w:sz w:val="12"/>
          <w:szCs w:val="12"/>
        </w:rPr>
        <w:t>cooked and vacuum-packaged beef sausage from pre- and post rigor beef averaged across storage time (group on the left) and stored for 0, 30, 60, 90, and 120 d at 4 °C averaged across de boning times (group on the right). Within each group, means without common letters differ (P ≤ 0.05). Detection limit was 1 log CFU/g.</w:t>
      </w:r>
    </w:p>
    <w:p w14:paraId="359DBA54"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5" w:space="720" w:equalWidth="0">
            <w:col w:w="2084" w:space="0"/>
            <w:col w:w="2084" w:space="0"/>
            <w:col w:w="2084" w:space="0"/>
            <w:col w:w="2084" w:space="0"/>
            <w:col w:w="2083" w:space="0"/>
          </w:cols>
        </w:sectPr>
      </w:pPr>
    </w:p>
    <w:p w14:paraId="7F01ED12" w14:textId="77777777" w:rsidR="003570ED" w:rsidRDefault="003570ED" w:rsidP="003570ED">
      <w:pPr>
        <w:pStyle w:val="Standard"/>
        <w:spacing w:before="2080" w:line="768" w:lineRule="auto"/>
        <w:ind w:left="5141" w:right="4032" w:hanging="4351"/>
      </w:pPr>
      <w:r>
        <w:rPr>
          <w:rFonts w:ascii="Times" w:eastAsia="Times" w:hAnsi="Times" w:cs="Times"/>
          <w:color w:val="231F20"/>
          <w:sz w:val="17"/>
          <w:szCs w:val="17"/>
        </w:rPr>
        <w:t xml:space="preserve">Pre-rigor Post-rigor d 0 d 30 d 60 d 90 d 120 </w:t>
      </w:r>
      <w:r>
        <w:rPr>
          <w:color w:val="000000"/>
          <w:sz w:val="12"/>
          <w:szCs w:val="12"/>
        </w:rPr>
        <w:t>52</w:t>
      </w:r>
    </w:p>
    <w:p w14:paraId="07F0D376" w14:textId="77777777" w:rsidR="003570ED" w:rsidRDefault="003570ED" w:rsidP="003570ED">
      <w:pPr>
        <w:pStyle w:val="Standard"/>
        <w:spacing w:line="240" w:lineRule="auto"/>
        <w:jc w:val="center"/>
      </w:pPr>
      <w:r>
        <w:rPr>
          <w:color w:val="000000"/>
          <w:sz w:val="12"/>
          <w:szCs w:val="12"/>
        </w:rPr>
        <w:t xml:space="preserve">A.T. Sukumaran et al. </w:t>
      </w:r>
      <w:r>
        <w:rPr>
          <w:i/>
          <w:color w:val="000000"/>
          <w:sz w:val="12"/>
          <w:szCs w:val="12"/>
        </w:rPr>
        <w:t>Meat Science 139 (2018) 49–55</w:t>
      </w:r>
    </w:p>
    <w:p w14:paraId="3CED1C86"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6F6C2588" w14:textId="77777777" w:rsidR="003570ED" w:rsidRDefault="003570ED" w:rsidP="003570ED">
      <w:pPr>
        <w:pStyle w:val="Standard"/>
        <w:spacing w:before="1661" w:line="674" w:lineRule="auto"/>
      </w:pPr>
      <w:r>
        <w:rPr>
          <w:rFonts w:ascii="Times" w:eastAsia="Times" w:hAnsi="Times" w:cs="Times"/>
          <w:color w:val="231F20"/>
          <w:sz w:val="2"/>
          <w:szCs w:val="2"/>
        </w:rPr>
        <w:t>g /</w:t>
      </w:r>
    </w:p>
    <w:p w14:paraId="22E8BEFB" w14:textId="77777777" w:rsidR="003570ED" w:rsidRDefault="003570ED" w:rsidP="003570ED">
      <w:pPr>
        <w:pStyle w:val="Standard"/>
        <w:spacing w:before="84" w:line="194" w:lineRule="auto"/>
      </w:pPr>
      <w:r>
        <w:rPr>
          <w:rFonts w:ascii="Times" w:eastAsia="Times" w:hAnsi="Times" w:cs="Times"/>
          <w:color w:val="231F20"/>
          <w:sz w:val="2"/>
          <w:szCs w:val="2"/>
        </w:rPr>
        <w:t>UF</w:t>
      </w:r>
    </w:p>
    <w:p w14:paraId="55F35E4D" w14:textId="77777777" w:rsidR="003570ED" w:rsidRDefault="003570ED" w:rsidP="003570ED">
      <w:pPr>
        <w:pStyle w:val="Standard"/>
        <w:spacing w:before="35" w:line="194" w:lineRule="auto"/>
      </w:pPr>
      <w:r>
        <w:rPr>
          <w:rFonts w:ascii="Times" w:eastAsia="Times" w:hAnsi="Times" w:cs="Times"/>
          <w:color w:val="231F20"/>
          <w:sz w:val="2"/>
          <w:szCs w:val="2"/>
        </w:rPr>
        <w:t>C</w:t>
      </w:r>
    </w:p>
    <w:p w14:paraId="747595DF" w14:textId="77777777" w:rsidR="003570ED" w:rsidRDefault="003570ED" w:rsidP="003570ED">
      <w:pPr>
        <w:pStyle w:val="Standard"/>
        <w:spacing w:before="50" w:line="240" w:lineRule="auto"/>
      </w:pPr>
      <w:r>
        <w:rPr>
          <w:rFonts w:ascii="Times" w:eastAsia="Times" w:hAnsi="Times" w:cs="Times"/>
          <w:color w:val="231F20"/>
          <w:sz w:val="2"/>
          <w:szCs w:val="2"/>
        </w:rPr>
        <w:t>g</w:t>
      </w:r>
    </w:p>
    <w:p w14:paraId="5E038D69" w14:textId="77777777" w:rsidR="003570ED" w:rsidRDefault="003570ED" w:rsidP="003570ED">
      <w:pPr>
        <w:pStyle w:val="Standard"/>
        <w:spacing w:before="85" w:line="240" w:lineRule="auto"/>
      </w:pPr>
      <w:r>
        <w:rPr>
          <w:rFonts w:ascii="Times" w:eastAsia="Times" w:hAnsi="Times" w:cs="Times"/>
          <w:color w:val="231F20"/>
          <w:sz w:val="2"/>
          <w:szCs w:val="2"/>
        </w:rPr>
        <w:t>o</w:t>
      </w:r>
    </w:p>
    <w:p w14:paraId="4954E9A8" w14:textId="77777777" w:rsidR="003570ED" w:rsidRDefault="003570ED" w:rsidP="003570ED">
      <w:pPr>
        <w:pStyle w:val="Standard"/>
        <w:spacing w:before="47" w:line="240" w:lineRule="auto"/>
      </w:pPr>
      <w:r>
        <w:rPr>
          <w:rFonts w:ascii="Times" w:eastAsia="Times" w:hAnsi="Times" w:cs="Times"/>
          <w:color w:val="231F20"/>
          <w:sz w:val="2"/>
          <w:szCs w:val="2"/>
        </w:rPr>
        <w:t>l</w:t>
      </w:r>
    </w:p>
    <w:p w14:paraId="5994BD2D" w14:textId="77777777" w:rsidR="003570ED" w:rsidRDefault="003570ED" w:rsidP="003570ED">
      <w:pPr>
        <w:pStyle w:val="Standard"/>
        <w:spacing w:line="396" w:lineRule="auto"/>
      </w:pPr>
      <w:r>
        <w:rPr>
          <w:rFonts w:ascii="Times" w:eastAsia="Times" w:hAnsi="Times" w:cs="Times"/>
          <w:color w:val="231F20"/>
          <w:sz w:val="17"/>
          <w:szCs w:val="17"/>
        </w:rPr>
        <w:t>4.5 4.0 3.5 3.0 2.5 2.0 1.5 1.0 0.5 0.0</w:t>
      </w:r>
    </w:p>
    <w:p w14:paraId="3A2A5DCF" w14:textId="77777777" w:rsidR="003570ED" w:rsidRDefault="003570ED" w:rsidP="003570ED">
      <w:pPr>
        <w:pStyle w:val="Standard"/>
        <w:spacing w:before="226" w:line="240" w:lineRule="auto"/>
      </w:pPr>
      <w:r>
        <w:rPr>
          <w:rFonts w:ascii="Times" w:eastAsia="Times" w:hAnsi="Times" w:cs="Times"/>
          <w:color w:val="231F20"/>
          <w:sz w:val="17"/>
          <w:szCs w:val="17"/>
        </w:rPr>
        <w:t>c</w:t>
      </w:r>
    </w:p>
    <w:p w14:paraId="065DAEB6" w14:textId="77777777" w:rsidR="003570ED" w:rsidRDefault="003570ED" w:rsidP="003570ED">
      <w:pPr>
        <w:pStyle w:val="Standard"/>
        <w:spacing w:before="87" w:line="240" w:lineRule="auto"/>
      </w:pPr>
      <w:r>
        <w:rPr>
          <w:rFonts w:ascii="Times" w:eastAsia="Times" w:hAnsi="Times" w:cs="Times"/>
          <w:color w:val="231F20"/>
          <w:sz w:val="28"/>
          <w:szCs w:val="28"/>
          <w:vertAlign w:val="subscript"/>
        </w:rPr>
        <w:t xml:space="preserve">bc </w:t>
      </w:r>
      <w:r>
        <w:rPr>
          <w:rFonts w:ascii="Times" w:eastAsia="Times" w:hAnsi="Times" w:cs="Times"/>
          <w:color w:val="231F20"/>
          <w:sz w:val="17"/>
          <w:szCs w:val="17"/>
        </w:rPr>
        <w:t xml:space="preserve">c </w:t>
      </w:r>
      <w:r>
        <w:rPr>
          <w:noProof/>
        </w:rPr>
        <w:drawing>
          <wp:anchor distT="0" distB="0" distL="114300" distR="114300" simplePos="0" relativeHeight="251661312" behindDoc="0" locked="0" layoutInCell="1" allowOverlap="1" wp14:anchorId="04834E7A" wp14:editId="3C664FC6">
            <wp:simplePos x="0" y="0"/>
            <wp:positionH relativeFrom="column">
              <wp:posOffset>-1009771</wp:posOffset>
            </wp:positionH>
            <wp:positionV relativeFrom="paragraph">
              <wp:posOffset>92903</wp:posOffset>
            </wp:positionV>
            <wp:extent cx="2161458" cy="1652412"/>
            <wp:effectExtent l="0" t="0" r="0" b="4938"/>
            <wp:wrapSquare wrapText="left"/>
            <wp:docPr id="5"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2161458" cy="1652412"/>
                    </a:xfrm>
                    <a:prstGeom prst="rect">
                      <a:avLst/>
                    </a:prstGeom>
                    <a:noFill/>
                    <a:ln>
                      <a:noFill/>
                      <a:prstDash/>
                    </a:ln>
                  </pic:spPr>
                </pic:pic>
              </a:graphicData>
            </a:graphic>
          </wp:anchor>
        </w:drawing>
      </w:r>
    </w:p>
    <w:p w14:paraId="53042DCB" w14:textId="77777777" w:rsidR="003570ED" w:rsidRDefault="003570ED" w:rsidP="003570ED">
      <w:pPr>
        <w:pStyle w:val="Standard"/>
        <w:spacing w:line="240" w:lineRule="auto"/>
      </w:pPr>
      <w:r>
        <w:rPr>
          <w:rFonts w:ascii="Times" w:eastAsia="Times" w:hAnsi="Times" w:cs="Times"/>
          <w:color w:val="231F20"/>
          <w:sz w:val="17"/>
          <w:szCs w:val="17"/>
        </w:rPr>
        <w:t>a</w:t>
      </w:r>
    </w:p>
    <w:p w14:paraId="625DAEFE" w14:textId="77777777" w:rsidR="003570ED" w:rsidRDefault="003570ED" w:rsidP="003570ED">
      <w:pPr>
        <w:pStyle w:val="Standard"/>
        <w:spacing w:before="926" w:line="240" w:lineRule="auto"/>
      </w:pPr>
      <w:r>
        <w:rPr>
          <w:rFonts w:ascii="Times" w:eastAsia="Times" w:hAnsi="Times" w:cs="Times"/>
          <w:color w:val="231F20"/>
          <w:sz w:val="17"/>
          <w:szCs w:val="17"/>
        </w:rPr>
        <w:t>b</w:t>
      </w:r>
    </w:p>
    <w:p w14:paraId="3F0F35D8" w14:textId="77777777" w:rsidR="003570ED" w:rsidRDefault="003570ED" w:rsidP="003570ED">
      <w:pPr>
        <w:pStyle w:val="Standard"/>
        <w:spacing w:line="240" w:lineRule="auto"/>
      </w:pPr>
      <w:r>
        <w:rPr>
          <w:rFonts w:ascii="Times" w:eastAsia="Times" w:hAnsi="Times" w:cs="Times"/>
          <w:color w:val="231F20"/>
          <w:sz w:val="17"/>
          <w:szCs w:val="17"/>
        </w:rPr>
        <w:t>a</w:t>
      </w:r>
    </w:p>
    <w:p w14:paraId="459164B4" w14:textId="77777777" w:rsidR="003570ED" w:rsidRDefault="003570ED" w:rsidP="003570ED">
      <w:pPr>
        <w:pStyle w:val="Standard"/>
        <w:spacing w:before="2293" w:line="240" w:lineRule="auto"/>
      </w:pPr>
      <w:r>
        <w:rPr>
          <w:rFonts w:ascii="Times" w:eastAsia="Times" w:hAnsi="Times" w:cs="Times"/>
          <w:color w:val="231F20"/>
          <w:sz w:val="17"/>
          <w:szCs w:val="17"/>
        </w:rPr>
        <w:t>a</w:t>
      </w:r>
    </w:p>
    <w:p w14:paraId="75D120EF" w14:textId="77777777" w:rsidR="003570ED" w:rsidRDefault="003570ED" w:rsidP="003570ED">
      <w:pPr>
        <w:pStyle w:val="Standard"/>
      </w:pPr>
      <w:r>
        <w:rPr>
          <w:color w:val="000000"/>
          <w:sz w:val="12"/>
          <w:szCs w:val="12"/>
        </w:rPr>
        <w:t>Fig. 3. Lactic acid bacteria count (mean ± SEM; log CFU/g) of cooked and vacuum-packaged beef sausage from pre- and post rigor beef averaged across storage time (group on the left) and stored for 0, 30, 60, 90, and 120 d at 4 °C averaged across de boning times (group on the right). Within each group, means without common letters differ (P ≤ 0.05). Detection limit was 1 log CFU/g.</w:t>
      </w:r>
    </w:p>
    <w:p w14:paraId="72E95EF7"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4" w:space="720" w:equalWidth="0">
            <w:col w:w="2605" w:space="0"/>
            <w:col w:w="2605" w:space="0"/>
            <w:col w:w="2605" w:space="0"/>
            <w:col w:w="2604" w:space="0"/>
          </w:cols>
        </w:sectPr>
      </w:pPr>
    </w:p>
    <w:p w14:paraId="7DED2A87" w14:textId="77777777" w:rsidR="003570ED" w:rsidRDefault="003570ED" w:rsidP="003570ED">
      <w:pPr>
        <w:pStyle w:val="Standard"/>
        <w:spacing w:before="2065" w:line="240" w:lineRule="auto"/>
        <w:ind w:left="790"/>
      </w:pPr>
      <w:r>
        <w:rPr>
          <w:rFonts w:ascii="Times" w:eastAsia="Times" w:hAnsi="Times" w:cs="Times"/>
          <w:color w:val="231F20"/>
          <w:sz w:val="17"/>
          <w:szCs w:val="17"/>
        </w:rPr>
        <w:t>Pre-rigor Post-rigor d 0 d 30 d 60 d 90 d 120</w:t>
      </w:r>
    </w:p>
    <w:p w14:paraId="0E85868A"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33871B99" w14:textId="77777777" w:rsidR="003570ED" w:rsidRDefault="003570ED" w:rsidP="003570ED">
      <w:pPr>
        <w:pStyle w:val="Standard"/>
        <w:spacing w:before="432" w:line="259" w:lineRule="auto"/>
        <w:ind w:right="202" w:firstLine="5"/>
        <w:jc w:val="both"/>
      </w:pPr>
      <w:r>
        <w:rPr>
          <w:color w:val="000000"/>
          <w:sz w:val="15"/>
          <w:szCs w:val="15"/>
        </w:rPr>
        <w:lastRenderedPageBreak/>
        <w:t>32 d. Moreover, the 5-log increase in 32 d of vacuum storage reported by these authors was greater than the 2-log growth rate in 30 d in the current study. Lactic acid bacteria were the major microorganism re sponsible for spoilage of sausages stored in vacuum packages at 4 °C. The LAB count in spoiled sausages has been reported to be 7 log CFU/g, a level reached in 40 to 45 d in vacuum packages at 4 °C (</w:t>
      </w:r>
      <w:r>
        <w:rPr>
          <w:color w:val="287CA5"/>
          <w:sz w:val="15"/>
          <w:szCs w:val="15"/>
        </w:rPr>
        <w:t>Korkeala et al., 1987</w:t>
      </w:r>
      <w:r>
        <w:rPr>
          <w:color w:val="000000"/>
          <w:sz w:val="15"/>
          <w:szCs w:val="15"/>
        </w:rPr>
        <w:t>). Although starting at a non-detectable level, similar to what was reported by these authors, the LAB count in the current study was much &lt; 7-log on d 120. However, signs of spoilage had occurred on d 120 of vacuum storage at 4 °C. Growth of LAB decreased pH, as previously discussed, to 5.19, indicating deterioration of organoleptic quality at this point. Sources of LAB contamination of meat include factory microflora, processing hygiene, and packaging and storage conditions (</w:t>
      </w:r>
      <w:r>
        <w:rPr>
          <w:color w:val="287CA5"/>
          <w:sz w:val="15"/>
          <w:szCs w:val="15"/>
        </w:rPr>
        <w:t>Samelis, Kakouri, &amp; Rementzis, 2000</w:t>
      </w:r>
      <w:r>
        <w:rPr>
          <w:color w:val="000000"/>
          <w:sz w:val="15"/>
          <w:szCs w:val="15"/>
        </w:rPr>
        <w:t>). In the current study, even though LAB count was increased in vacuum-packaged cooked sausage during refrigerated storage, it was not detected in GB, SB, and BB, confirming that anaerobic environment favored the growth of LAB.</w:t>
      </w:r>
    </w:p>
    <w:p w14:paraId="613A90A6" w14:textId="77777777" w:rsidR="003570ED" w:rsidRDefault="003570ED" w:rsidP="003570ED">
      <w:pPr>
        <w:pStyle w:val="Standard"/>
        <w:spacing w:before="257" w:line="240" w:lineRule="auto"/>
      </w:pPr>
      <w:r>
        <w:rPr>
          <w:color w:val="000000"/>
          <w:sz w:val="15"/>
          <w:szCs w:val="15"/>
        </w:rPr>
        <w:t>3.4. Salmonella and E. coli</w:t>
      </w:r>
    </w:p>
    <w:p w14:paraId="1ECC28DE" w14:textId="77777777" w:rsidR="003570ED" w:rsidRDefault="003570ED" w:rsidP="003570ED">
      <w:pPr>
        <w:pStyle w:val="Standard"/>
        <w:spacing w:before="232" w:line="259" w:lineRule="auto"/>
        <w:ind w:left="2" w:right="199" w:firstLine="245"/>
        <w:jc w:val="both"/>
      </w:pPr>
      <w:r>
        <w:rPr>
          <w:color w:val="000000"/>
          <w:sz w:val="15"/>
          <w:szCs w:val="15"/>
        </w:rPr>
        <w:t xml:space="preserve">Salmonella counts were not affected by deboning time (P = 0.251; </w:t>
      </w:r>
      <w:r>
        <w:rPr>
          <w:color w:val="287CA5"/>
          <w:sz w:val="15"/>
          <w:szCs w:val="15"/>
        </w:rPr>
        <w:t>Fig. 4</w:t>
      </w:r>
      <w:r>
        <w:rPr>
          <w:color w:val="000000"/>
          <w:sz w:val="15"/>
          <w:szCs w:val="15"/>
        </w:rPr>
        <w:t>) with average Salmonella counts in pre- and post-rigor beef across processing steps and across storage times were 3.23 and 3.28 log CFU/ g, respectively. However, sausage processing decreased Salmonella count from 3.57 log CFU/g in GB to 3.13 and 3.06 log CFU/g in SB and BB, respectively (</w:t>
      </w:r>
      <w:r>
        <w:rPr>
          <w:color w:val="287CA5"/>
          <w:sz w:val="15"/>
          <w:szCs w:val="15"/>
        </w:rPr>
        <w:t>Fig. 4</w:t>
      </w:r>
      <w:r>
        <w:rPr>
          <w:color w:val="000000"/>
          <w:sz w:val="15"/>
          <w:szCs w:val="15"/>
        </w:rPr>
        <w:t>; P &lt; 0.001). Salmonella counts of GB, SB, and BB from both pre- and post-rigor beef were all gradually increased over storage time, from 3.21 log CFU/g on d 0 to 3.29 log CFU/g on d 10</w:t>
      </w:r>
    </w:p>
    <w:p w14:paraId="19488A18" w14:textId="77777777" w:rsidR="003570ED" w:rsidRDefault="003570ED" w:rsidP="003570ED">
      <w:pPr>
        <w:pStyle w:val="Standard"/>
        <w:spacing w:before="206" w:line="240" w:lineRule="auto"/>
        <w:ind w:left="366"/>
      </w:pPr>
      <w:r>
        <w:rPr>
          <w:rFonts w:ascii="Times" w:eastAsia="Times" w:hAnsi="Times" w:cs="Times"/>
          <w:color w:val="231F20"/>
          <w:sz w:val="17"/>
          <w:szCs w:val="17"/>
        </w:rPr>
        <w:t>4.0</w:t>
      </w:r>
    </w:p>
    <w:p w14:paraId="0EE66C1A" w14:textId="77777777" w:rsidR="003570ED" w:rsidRDefault="003570ED" w:rsidP="003570ED">
      <w:pPr>
        <w:pStyle w:val="Standard"/>
        <w:spacing w:line="240" w:lineRule="auto"/>
        <w:jc w:val="center"/>
      </w:pPr>
      <w:r>
        <w:rPr>
          <w:rFonts w:ascii="Times" w:eastAsia="Times" w:hAnsi="Times" w:cs="Times"/>
          <w:color w:val="231F20"/>
          <w:sz w:val="17"/>
          <w:szCs w:val="17"/>
        </w:rPr>
        <w:t>a</w:t>
      </w:r>
    </w:p>
    <w:p w14:paraId="38CDC975" w14:textId="77777777" w:rsidR="003570ED" w:rsidRDefault="003570ED" w:rsidP="003570ED">
      <w:pPr>
        <w:pStyle w:val="Standard"/>
        <w:spacing w:line="240" w:lineRule="auto"/>
        <w:ind w:left="168"/>
      </w:pPr>
      <w:r>
        <w:rPr>
          <w:color w:val="000000"/>
          <w:sz w:val="15"/>
          <w:szCs w:val="15"/>
        </w:rPr>
        <w:t>(</w:t>
      </w:r>
      <w:r>
        <w:rPr>
          <w:color w:val="287CA5"/>
          <w:sz w:val="15"/>
          <w:szCs w:val="15"/>
        </w:rPr>
        <w:t>Fig. 4</w:t>
      </w:r>
      <w:r>
        <w:rPr>
          <w:color w:val="000000"/>
          <w:sz w:val="15"/>
          <w:szCs w:val="15"/>
        </w:rPr>
        <w:t>; P &lt; 0.001).</w:t>
      </w:r>
    </w:p>
    <w:p w14:paraId="49B66731" w14:textId="77777777" w:rsidR="003570ED" w:rsidRDefault="003570ED" w:rsidP="003570ED">
      <w:pPr>
        <w:pStyle w:val="Standard"/>
        <w:spacing w:before="23" w:line="259" w:lineRule="auto"/>
        <w:ind w:left="156" w:right="30" w:firstLine="254"/>
        <w:jc w:val="both"/>
      </w:pPr>
      <w:r>
        <w:rPr>
          <w:color w:val="000000"/>
          <w:sz w:val="15"/>
          <w:szCs w:val="15"/>
        </w:rPr>
        <w:t>There was a 2-way processing step × storage time interaction for E. coli count (</w:t>
      </w:r>
      <w:r>
        <w:rPr>
          <w:color w:val="287CA5"/>
          <w:sz w:val="15"/>
          <w:szCs w:val="15"/>
        </w:rPr>
        <w:t>Fig. 5</w:t>
      </w:r>
      <w:r>
        <w:rPr>
          <w:color w:val="000000"/>
          <w:sz w:val="15"/>
          <w:szCs w:val="15"/>
        </w:rPr>
        <w:t>; P = 0.022). E. coli count was decreased in GB from d 0 (2.57 log CFU/g) to d 3 (2.17 log CFU/g; P = 0.006), but increased by d 7 (2.51 log CFU/g; P = 0.018), and remained unchanged on d 10 (2.50 log CFU/g; P = 0.953). In SB, E. coli counts were similar on d 0 (2.51 log CFU/g) and d 3 (2.53 log CFU/g; P = 0.883), but was de creased by d 7 (2.40 log CFU/g; P = 0.047) before being increased by d 10 (2.53 log CFU/g; P = 0.014). No change in E. coli count was ob served in BB from d 0 to 10 (2.51 to 2.59 log CFU/g; P ≥ 0.169). Averaged across deboning times, similar E. coli count was determined for GB, SB, and BB on d 0 (day of inoculation; 2.51 to 2.58 log CFU/g; P ≥ 0.530). On d 3, E. coli count in GB was 2.2 log CFU/g, less than both SB and BB (2.5 log CFU/g; P ≤ 0.001). However, by d 7 and d 10, E. coli count on GB, SB, and BB returned to a similar concentration of 2.4 to 2.5 log CFU/g (P ≥ 0.091).</w:t>
      </w:r>
    </w:p>
    <w:p w14:paraId="75A1ACE5" w14:textId="77777777" w:rsidR="003570ED" w:rsidRDefault="003570ED" w:rsidP="003570ED">
      <w:pPr>
        <w:pStyle w:val="Standard"/>
        <w:spacing w:before="7" w:line="254" w:lineRule="auto"/>
        <w:ind w:left="162" w:right="29" w:firstLine="251"/>
        <w:jc w:val="both"/>
      </w:pPr>
      <w:r>
        <w:rPr>
          <w:color w:val="287CA5"/>
          <w:sz w:val="15"/>
          <w:szCs w:val="15"/>
        </w:rPr>
        <w:t xml:space="preserve">Reid et al. (2017) </w:t>
      </w:r>
      <w:r>
        <w:rPr>
          <w:color w:val="000000"/>
          <w:sz w:val="15"/>
          <w:szCs w:val="15"/>
        </w:rPr>
        <w:t>similarly reported no effect of pre-rigor deboning on Salmonella counts in beef, compared with post-rigor deboning. However, greater proliferation of mesophilic bacteria in pre-rigor beef than in post-rigor beef (3.7 vs. 2.7 log CFU/cm</w:t>
      </w:r>
      <w:r>
        <w:rPr>
          <w:color w:val="000000"/>
          <w:sz w:val="18"/>
          <w:szCs w:val="18"/>
          <w:vertAlign w:val="superscript"/>
        </w:rPr>
        <w:t xml:space="preserve">2 </w:t>
      </w:r>
      <w:r>
        <w:rPr>
          <w:color w:val="000000"/>
          <w:sz w:val="15"/>
          <w:szCs w:val="15"/>
        </w:rPr>
        <w:t>in 14 d) under re frigeration has been previously reported (</w:t>
      </w:r>
      <w:r>
        <w:rPr>
          <w:color w:val="287CA5"/>
          <w:sz w:val="15"/>
          <w:szCs w:val="15"/>
        </w:rPr>
        <w:t>Fung, Kastner, Hunt, Dikeman, &amp; Kropf, 1980</w:t>
      </w:r>
      <w:r>
        <w:rPr>
          <w:color w:val="000000"/>
          <w:sz w:val="15"/>
          <w:szCs w:val="15"/>
        </w:rPr>
        <w:t xml:space="preserve">). </w:t>
      </w:r>
      <w:r>
        <w:rPr>
          <w:color w:val="287CA5"/>
          <w:sz w:val="15"/>
          <w:szCs w:val="15"/>
        </w:rPr>
        <w:t xml:space="preserve">Van Laack and Smulders (1991) </w:t>
      </w:r>
      <w:r>
        <w:rPr>
          <w:color w:val="000000"/>
          <w:sz w:val="15"/>
          <w:szCs w:val="15"/>
        </w:rPr>
        <w:t>also reported a slight reduction in aerobic mesophilic bacteria (0.1 log CFU/g) by pre rigor deboning in restructured beef steaks. In the current study, under 4 °C storage, there was only 0.1-log CFU/g increase in Salmonella count in raw beef mixtures from three processing steps after d 10. Although statistically significant, it is important to note that this rate of pro liferation is not technologically meaningful. This statistical significance</w:t>
      </w:r>
    </w:p>
    <w:p w14:paraId="5672D52F" w14:textId="77777777" w:rsidR="003570ED" w:rsidRDefault="003570ED" w:rsidP="003570ED">
      <w:pPr>
        <w:pStyle w:val="Standard"/>
        <w:spacing w:before="209" w:line="240" w:lineRule="auto"/>
        <w:ind w:right="43"/>
        <w:jc w:val="right"/>
      </w:pPr>
      <w:r>
        <w:rPr>
          <w:color w:val="000000"/>
          <w:sz w:val="12"/>
          <w:szCs w:val="12"/>
        </w:rPr>
        <w:t>Fig. 4. Salmonella count (mean ± SEM; log CFU/g) of pre- and</w:t>
      </w:r>
    </w:p>
    <w:p w14:paraId="0E695FFE" w14:textId="77777777" w:rsidR="003570ED" w:rsidRDefault="003570ED" w:rsidP="003570ED">
      <w:pPr>
        <w:pStyle w:val="Standard"/>
        <w:spacing w:before="32" w:line="240" w:lineRule="auto"/>
        <w:ind w:right="43"/>
        <w:jc w:val="right"/>
      </w:pPr>
      <w:r>
        <w:rPr>
          <w:color w:val="000000"/>
          <w:sz w:val="12"/>
          <w:szCs w:val="12"/>
        </w:rPr>
        <w:t>post-rigor beef (group on the left; averaged across mixtures and</w:t>
      </w:r>
    </w:p>
    <w:p w14:paraId="7B9446AC"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0268258E" w14:textId="77777777" w:rsidR="003570ED" w:rsidRDefault="003570ED" w:rsidP="003570ED">
      <w:pPr>
        <w:pStyle w:val="Standard"/>
        <w:spacing w:before="1101" w:line="674" w:lineRule="auto"/>
      </w:pPr>
      <w:r>
        <w:rPr>
          <w:rFonts w:ascii="Times" w:eastAsia="Times" w:hAnsi="Times" w:cs="Times"/>
          <w:color w:val="231F20"/>
          <w:sz w:val="2"/>
          <w:szCs w:val="2"/>
        </w:rPr>
        <w:t>g /</w:t>
      </w:r>
    </w:p>
    <w:p w14:paraId="70756FCE" w14:textId="77777777" w:rsidR="003570ED" w:rsidRDefault="003570ED" w:rsidP="003570ED">
      <w:pPr>
        <w:pStyle w:val="Standard"/>
        <w:spacing w:before="84" w:line="194" w:lineRule="auto"/>
      </w:pPr>
      <w:r>
        <w:rPr>
          <w:rFonts w:ascii="Times" w:eastAsia="Times" w:hAnsi="Times" w:cs="Times"/>
          <w:color w:val="231F20"/>
          <w:sz w:val="2"/>
          <w:szCs w:val="2"/>
        </w:rPr>
        <w:t>UF</w:t>
      </w:r>
    </w:p>
    <w:p w14:paraId="644F2D05" w14:textId="77777777" w:rsidR="003570ED" w:rsidRDefault="003570ED" w:rsidP="003570ED">
      <w:pPr>
        <w:pStyle w:val="Standard"/>
        <w:spacing w:before="35" w:line="194" w:lineRule="auto"/>
      </w:pPr>
      <w:r>
        <w:rPr>
          <w:rFonts w:ascii="Times" w:eastAsia="Times" w:hAnsi="Times" w:cs="Times"/>
          <w:color w:val="231F20"/>
          <w:sz w:val="2"/>
          <w:szCs w:val="2"/>
        </w:rPr>
        <w:t>C</w:t>
      </w:r>
    </w:p>
    <w:p w14:paraId="4C7EFB0C" w14:textId="77777777" w:rsidR="003570ED" w:rsidRDefault="003570ED" w:rsidP="003570ED">
      <w:pPr>
        <w:pStyle w:val="Standard"/>
        <w:spacing w:before="50" w:line="194" w:lineRule="auto"/>
      </w:pPr>
      <w:r>
        <w:rPr>
          <w:rFonts w:ascii="Times" w:eastAsia="Times" w:hAnsi="Times" w:cs="Times"/>
          <w:color w:val="231F20"/>
          <w:sz w:val="2"/>
          <w:szCs w:val="2"/>
        </w:rPr>
        <w:t>g</w:t>
      </w:r>
    </w:p>
    <w:p w14:paraId="3E71DA38" w14:textId="77777777" w:rsidR="003570ED" w:rsidRDefault="003570ED" w:rsidP="003570ED">
      <w:pPr>
        <w:pStyle w:val="Standard"/>
        <w:spacing w:before="85" w:line="194" w:lineRule="auto"/>
      </w:pPr>
      <w:r>
        <w:rPr>
          <w:rFonts w:ascii="Times" w:eastAsia="Times" w:hAnsi="Times" w:cs="Times"/>
          <w:color w:val="231F20"/>
          <w:sz w:val="2"/>
          <w:szCs w:val="2"/>
        </w:rPr>
        <w:t>o</w:t>
      </w:r>
    </w:p>
    <w:p w14:paraId="30CD6E89" w14:textId="77777777" w:rsidR="003570ED" w:rsidRDefault="003570ED" w:rsidP="003570ED">
      <w:pPr>
        <w:pStyle w:val="Standard"/>
        <w:spacing w:before="47" w:line="194" w:lineRule="auto"/>
      </w:pPr>
      <w:r>
        <w:rPr>
          <w:rFonts w:ascii="Times" w:eastAsia="Times" w:hAnsi="Times" w:cs="Times"/>
          <w:color w:val="231F20"/>
          <w:sz w:val="2"/>
          <w:szCs w:val="2"/>
        </w:rPr>
        <w:t>l</w:t>
      </w:r>
    </w:p>
    <w:p w14:paraId="54164F97" w14:textId="77777777" w:rsidR="003570ED" w:rsidRDefault="003570ED" w:rsidP="003570ED">
      <w:pPr>
        <w:pStyle w:val="Standard"/>
        <w:spacing w:line="400" w:lineRule="auto"/>
      </w:pPr>
      <w:r>
        <w:rPr>
          <w:rFonts w:ascii="Times" w:eastAsia="Times" w:hAnsi="Times" w:cs="Times"/>
          <w:color w:val="231F20"/>
          <w:sz w:val="17"/>
          <w:szCs w:val="17"/>
        </w:rPr>
        <w:t>3.5 3.0 2.5 2.0 1.5 1.0 0.5 0.0</w:t>
      </w:r>
    </w:p>
    <w:p w14:paraId="76F83B2E" w14:textId="77777777" w:rsidR="003570ED" w:rsidRDefault="003570ED" w:rsidP="003570ED">
      <w:pPr>
        <w:pStyle w:val="Standard"/>
        <w:spacing w:line="194" w:lineRule="auto"/>
      </w:pPr>
      <w:r>
        <w:rPr>
          <w:rFonts w:ascii="Times" w:eastAsia="Times" w:hAnsi="Times" w:cs="Times"/>
          <w:color w:val="231F20"/>
          <w:sz w:val="28"/>
          <w:szCs w:val="28"/>
          <w:vertAlign w:val="subscript"/>
        </w:rPr>
        <w:t xml:space="preserve">a </w:t>
      </w:r>
      <w:r>
        <w:rPr>
          <w:rFonts w:ascii="Times" w:eastAsia="Times" w:hAnsi="Times" w:cs="Times"/>
          <w:color w:val="231F20"/>
          <w:sz w:val="17"/>
          <w:szCs w:val="17"/>
        </w:rPr>
        <w:t>b</w:t>
      </w:r>
    </w:p>
    <w:p w14:paraId="2C03400F" w14:textId="77777777" w:rsidR="003570ED" w:rsidRDefault="003570ED" w:rsidP="003570ED">
      <w:pPr>
        <w:pStyle w:val="Standard"/>
        <w:spacing w:line="288" w:lineRule="auto"/>
      </w:pPr>
      <w:r>
        <w:rPr>
          <w:noProof/>
        </w:rPr>
        <w:drawing>
          <wp:inline distT="0" distB="0" distL="0" distR="0" wp14:anchorId="3C0F3446" wp14:editId="2E553700">
            <wp:extent cx="901781" cy="1582917"/>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901781" cy="1582917"/>
                    </a:xfrm>
                    <a:prstGeom prst="rect">
                      <a:avLst/>
                    </a:prstGeom>
                    <a:noFill/>
                    <a:ln>
                      <a:noFill/>
                      <a:prstDash/>
                    </a:ln>
                  </pic:spPr>
                </pic:pic>
              </a:graphicData>
            </a:graphic>
          </wp:inline>
        </w:drawing>
      </w:r>
      <w:r>
        <w:rPr>
          <w:rFonts w:ascii="Times" w:eastAsia="Times" w:hAnsi="Times" w:cs="Times"/>
          <w:color w:val="231F20"/>
          <w:sz w:val="28"/>
          <w:szCs w:val="28"/>
          <w:vertAlign w:val="superscript"/>
        </w:rPr>
        <w:t xml:space="preserve">b </w:t>
      </w:r>
      <w:r>
        <w:rPr>
          <w:rFonts w:ascii="Times" w:eastAsia="Times" w:hAnsi="Times" w:cs="Times"/>
          <w:color w:val="231F20"/>
          <w:sz w:val="28"/>
          <w:szCs w:val="28"/>
          <w:vertAlign w:val="subscript"/>
        </w:rPr>
        <w:t xml:space="preserve">c a </w:t>
      </w:r>
      <w:r>
        <w:rPr>
          <w:rFonts w:ascii="Times" w:eastAsia="Times" w:hAnsi="Times" w:cs="Times"/>
          <w:color w:val="231F20"/>
          <w:sz w:val="17"/>
          <w:szCs w:val="17"/>
        </w:rPr>
        <w:t xml:space="preserve">b </w:t>
      </w:r>
      <w:r>
        <w:rPr>
          <w:rFonts w:ascii="Times" w:eastAsia="Times" w:hAnsi="Times" w:cs="Times"/>
          <w:color w:val="231F20"/>
          <w:sz w:val="28"/>
          <w:szCs w:val="28"/>
          <w:vertAlign w:val="subscript"/>
        </w:rPr>
        <w:t xml:space="preserve">b </w:t>
      </w:r>
      <w:r>
        <w:rPr>
          <w:rFonts w:ascii="Times" w:eastAsia="Times" w:hAnsi="Times" w:cs="Times"/>
          <w:color w:val="231F20"/>
          <w:sz w:val="17"/>
          <w:szCs w:val="17"/>
        </w:rPr>
        <w:t xml:space="preserve">c </w:t>
      </w:r>
      <w:r>
        <w:rPr>
          <w:color w:val="000000"/>
          <w:sz w:val="12"/>
          <w:szCs w:val="12"/>
        </w:rPr>
        <w:t>53</w:t>
      </w:r>
    </w:p>
    <w:p w14:paraId="13BD4C1B" w14:textId="77777777" w:rsidR="003570ED" w:rsidRDefault="003570ED" w:rsidP="003570ED">
      <w:pPr>
        <w:pStyle w:val="Standard"/>
        <w:spacing w:line="278" w:lineRule="auto"/>
      </w:pPr>
      <w:r>
        <w:rPr>
          <w:color w:val="000000"/>
          <w:sz w:val="12"/>
          <w:szCs w:val="12"/>
        </w:rPr>
        <w:t>storage time), from three processing steps (group in the middle; averaged across deboning time and storage time; grinding - GB; salting - SB, and batter formulation - BB), and on each storage time point (group on the right; averaged across deboning time and processing steps). Within each group, means without common letters differ (P ≤ 0.05). Detection limit is 2 log CFU/ g.</w:t>
      </w:r>
    </w:p>
    <w:p w14:paraId="601D5450"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60387D38" w14:textId="77777777" w:rsidR="003570ED" w:rsidRDefault="003570ED" w:rsidP="003570ED">
      <w:pPr>
        <w:pStyle w:val="Standard"/>
        <w:spacing w:line="240" w:lineRule="auto"/>
        <w:jc w:val="center"/>
      </w:pPr>
      <w:r>
        <w:rPr>
          <w:color w:val="000000"/>
          <w:sz w:val="12"/>
          <w:szCs w:val="12"/>
        </w:rPr>
        <w:t xml:space="preserve">A.T. Sukumaran et al. </w:t>
      </w:r>
      <w:r>
        <w:rPr>
          <w:i/>
          <w:color w:val="000000"/>
          <w:sz w:val="12"/>
          <w:szCs w:val="12"/>
        </w:rPr>
        <w:t>Meat Science 139 (2018) 49–55</w:t>
      </w:r>
    </w:p>
    <w:p w14:paraId="7228A65B"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1C82E92C" w14:textId="77777777" w:rsidR="003570ED" w:rsidRDefault="003570ED" w:rsidP="003570ED">
      <w:pPr>
        <w:pStyle w:val="Standard"/>
        <w:spacing w:before="36" w:line="240" w:lineRule="auto"/>
      </w:pPr>
      <w:r>
        <w:rPr>
          <w:rFonts w:ascii="Times" w:eastAsia="Times" w:hAnsi="Times" w:cs="Times"/>
          <w:color w:val="231F20"/>
          <w:sz w:val="17"/>
          <w:szCs w:val="17"/>
        </w:rPr>
        <w:t>3.0</w:t>
      </w:r>
    </w:p>
    <w:p w14:paraId="6537F70D" w14:textId="77777777" w:rsidR="003570ED" w:rsidRDefault="003570ED" w:rsidP="003570ED">
      <w:pPr>
        <w:pStyle w:val="Standard"/>
        <w:spacing w:line="240" w:lineRule="auto"/>
      </w:pPr>
      <w:r>
        <w:rPr>
          <w:rFonts w:ascii="Times" w:eastAsia="Times" w:hAnsi="Times" w:cs="Times"/>
          <w:color w:val="231F20"/>
          <w:sz w:val="29"/>
          <w:szCs w:val="29"/>
          <w:vertAlign w:val="superscript"/>
        </w:rPr>
        <w:t xml:space="preserve">a </w:t>
      </w:r>
      <w:r>
        <w:rPr>
          <w:rFonts w:ascii="Times" w:eastAsia="Times" w:hAnsi="Times" w:cs="Times"/>
          <w:color w:val="231F20"/>
          <w:sz w:val="17"/>
          <w:szCs w:val="17"/>
        </w:rPr>
        <w:t>a</w:t>
      </w:r>
    </w:p>
    <w:p w14:paraId="2F0DA529" w14:textId="77777777" w:rsidR="003570ED" w:rsidRDefault="003570ED" w:rsidP="003570ED">
      <w:pPr>
        <w:pStyle w:val="Standard"/>
        <w:spacing w:line="240" w:lineRule="auto"/>
      </w:pPr>
      <w:r>
        <w:rPr>
          <w:rFonts w:ascii="Times" w:eastAsia="Times" w:hAnsi="Times" w:cs="Times"/>
          <w:color w:val="231F20"/>
          <w:sz w:val="29"/>
          <w:szCs w:val="29"/>
          <w:u w:val="single"/>
          <w:vertAlign w:val="superscript"/>
        </w:rPr>
        <w:t xml:space="preserve">a </w:t>
      </w:r>
      <w:r>
        <w:rPr>
          <w:rFonts w:ascii="Times" w:eastAsia="Times" w:hAnsi="Times" w:cs="Times"/>
          <w:color w:val="231F20"/>
          <w:sz w:val="29"/>
          <w:szCs w:val="29"/>
          <w:u w:val="single"/>
          <w:vertAlign w:val="subscript"/>
        </w:rPr>
        <w:t xml:space="preserve">a </w:t>
      </w:r>
      <w:r>
        <w:rPr>
          <w:rFonts w:ascii="Times" w:eastAsia="Times" w:hAnsi="Times" w:cs="Times"/>
          <w:color w:val="231F20"/>
          <w:sz w:val="29"/>
          <w:szCs w:val="29"/>
          <w:vertAlign w:val="superscript"/>
        </w:rPr>
        <w:t xml:space="preserve">a </w:t>
      </w:r>
      <w:r>
        <w:rPr>
          <w:rFonts w:ascii="Times" w:eastAsia="Times" w:hAnsi="Times" w:cs="Times"/>
          <w:color w:val="231F20"/>
          <w:sz w:val="29"/>
          <w:szCs w:val="29"/>
          <w:vertAlign w:val="subscript"/>
        </w:rPr>
        <w:t xml:space="preserve">a </w:t>
      </w:r>
      <w:r>
        <w:rPr>
          <w:rFonts w:ascii="Times" w:eastAsia="Times" w:hAnsi="Times" w:cs="Times"/>
          <w:color w:val="231F20"/>
          <w:sz w:val="17"/>
          <w:szCs w:val="17"/>
        </w:rPr>
        <w:t>a</w:t>
      </w:r>
    </w:p>
    <w:p w14:paraId="3985DDE7" w14:textId="77777777" w:rsidR="003570ED" w:rsidRDefault="003570ED" w:rsidP="003570ED">
      <w:pPr>
        <w:pStyle w:val="Standard"/>
        <w:spacing w:line="240" w:lineRule="auto"/>
      </w:pPr>
      <w:r>
        <w:rPr>
          <w:rFonts w:ascii="Times" w:eastAsia="Times" w:hAnsi="Times" w:cs="Times"/>
          <w:color w:val="231F20"/>
          <w:sz w:val="17"/>
          <w:szCs w:val="17"/>
        </w:rPr>
        <w:t>a</w:t>
      </w:r>
    </w:p>
    <w:p w14:paraId="5F9EAFBF" w14:textId="77777777" w:rsidR="003570ED" w:rsidRDefault="003570ED" w:rsidP="003570ED">
      <w:pPr>
        <w:pStyle w:val="Standard"/>
        <w:spacing w:before="527" w:line="240" w:lineRule="auto"/>
      </w:pPr>
      <w:r>
        <w:rPr>
          <w:rFonts w:ascii="Times" w:eastAsia="Times" w:hAnsi="Times" w:cs="Times"/>
          <w:color w:val="231F20"/>
          <w:sz w:val="17"/>
          <w:szCs w:val="17"/>
        </w:rPr>
        <w:t>2.5</w:t>
      </w:r>
    </w:p>
    <w:p w14:paraId="65C92181" w14:textId="77777777" w:rsidR="003570ED" w:rsidRDefault="003570ED" w:rsidP="003570ED">
      <w:pPr>
        <w:pStyle w:val="Standard"/>
      </w:pPr>
      <w:r>
        <w:rPr>
          <w:color w:val="000000"/>
          <w:sz w:val="12"/>
          <w:szCs w:val="12"/>
        </w:rPr>
        <w:t>Fig. 5. E. coli count (mean ± SEM; log CFU/g) of raw beef mixtures from three processing steps (grinding - GB; salting - SB, and batter formulation - BB) stored for 0, 3, 7, and 10 d at 4 °C, averaged across deboning times. A 2-way processing step × -</w:t>
      </w:r>
    </w:p>
    <w:p w14:paraId="70173A03"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4619715C" w14:textId="77777777" w:rsidR="003570ED" w:rsidRDefault="003570ED" w:rsidP="003570ED">
      <w:pPr>
        <w:pStyle w:val="Standard"/>
        <w:spacing w:before="35" w:line="240" w:lineRule="auto"/>
      </w:pPr>
      <w:r>
        <w:rPr>
          <w:rFonts w:ascii="Times" w:eastAsia="Times" w:hAnsi="Times" w:cs="Times"/>
          <w:color w:val="231F20"/>
          <w:sz w:val="17"/>
          <w:szCs w:val="17"/>
        </w:rPr>
        <w:t>a</w:t>
      </w:r>
    </w:p>
    <w:p w14:paraId="591EC264" w14:textId="77777777" w:rsidR="003570ED" w:rsidRDefault="003570ED" w:rsidP="003570ED">
      <w:pPr>
        <w:pStyle w:val="Standard"/>
        <w:spacing w:before="128" w:line="240" w:lineRule="auto"/>
      </w:pPr>
      <w:r>
        <w:rPr>
          <w:rFonts w:ascii="Times" w:eastAsia="Times" w:hAnsi="Times" w:cs="Times"/>
          <w:color w:val="231F20"/>
          <w:sz w:val="17"/>
          <w:szCs w:val="17"/>
        </w:rPr>
        <w:t>b</w:t>
      </w:r>
    </w:p>
    <w:p w14:paraId="0C146CB8" w14:textId="77777777" w:rsidR="003570ED" w:rsidRDefault="003570ED" w:rsidP="003570ED">
      <w:pPr>
        <w:pStyle w:val="Standard"/>
        <w:spacing w:before="20" w:line="240" w:lineRule="auto"/>
      </w:pPr>
      <w:r>
        <w:rPr>
          <w:rFonts w:ascii="Times" w:eastAsia="Times" w:hAnsi="Times" w:cs="Times"/>
          <w:strike/>
          <w:color w:val="231F20"/>
          <w:sz w:val="29"/>
          <w:szCs w:val="29"/>
          <w:vertAlign w:val="subscript"/>
        </w:rPr>
        <w:t xml:space="preserve">a </w:t>
      </w:r>
      <w:r>
        <w:rPr>
          <w:rFonts w:ascii="Times" w:eastAsia="Times" w:hAnsi="Times" w:cs="Times"/>
          <w:color w:val="231F20"/>
          <w:sz w:val="17"/>
          <w:szCs w:val="17"/>
        </w:rPr>
        <w:t>a</w:t>
      </w:r>
    </w:p>
    <w:p w14:paraId="069B8206" w14:textId="77777777" w:rsidR="003570ED" w:rsidRDefault="003570ED" w:rsidP="003570ED">
      <w:pPr>
        <w:pStyle w:val="Standard"/>
        <w:spacing w:before="14" w:line="240" w:lineRule="auto"/>
      </w:pPr>
      <w:r>
        <w:rPr>
          <w:rFonts w:ascii="Times" w:eastAsia="Times" w:hAnsi="Times" w:cs="Times"/>
          <w:color w:val="231F20"/>
          <w:sz w:val="17"/>
          <w:szCs w:val="17"/>
        </w:rPr>
        <w:t>2.0</w:t>
      </w:r>
    </w:p>
    <w:p w14:paraId="16D7D5FB" w14:textId="77777777" w:rsidR="003570ED" w:rsidRDefault="003570ED" w:rsidP="003570ED">
      <w:pPr>
        <w:pStyle w:val="Standard"/>
        <w:spacing w:before="285" w:line="240" w:lineRule="auto"/>
      </w:pPr>
      <w:r>
        <w:rPr>
          <w:rFonts w:ascii="Times" w:eastAsia="Times" w:hAnsi="Times" w:cs="Times"/>
          <w:color w:val="231F20"/>
          <w:sz w:val="17"/>
          <w:szCs w:val="17"/>
        </w:rPr>
        <w:t>1.5</w:t>
      </w:r>
    </w:p>
    <w:p w14:paraId="7138C1B1" w14:textId="77777777" w:rsidR="003570ED" w:rsidRDefault="003570ED" w:rsidP="003570ED">
      <w:pPr>
        <w:pStyle w:val="Standard"/>
        <w:spacing w:before="286" w:line="240" w:lineRule="auto"/>
      </w:pPr>
      <w:r>
        <w:rPr>
          <w:rFonts w:ascii="Times" w:eastAsia="Times" w:hAnsi="Times" w:cs="Times"/>
          <w:color w:val="231F20"/>
          <w:sz w:val="17"/>
          <w:szCs w:val="17"/>
        </w:rPr>
        <w:t>1.0</w:t>
      </w:r>
    </w:p>
    <w:p w14:paraId="296B9664" w14:textId="77777777" w:rsidR="003570ED" w:rsidRDefault="003570ED" w:rsidP="003570ED">
      <w:pPr>
        <w:pStyle w:val="Standard"/>
        <w:spacing w:before="286" w:line="240" w:lineRule="auto"/>
      </w:pPr>
      <w:r>
        <w:rPr>
          <w:rFonts w:ascii="Times" w:eastAsia="Times" w:hAnsi="Times" w:cs="Times"/>
          <w:color w:val="231F20"/>
          <w:sz w:val="17"/>
          <w:szCs w:val="17"/>
        </w:rPr>
        <w:t>0.5</w:t>
      </w:r>
    </w:p>
    <w:p w14:paraId="1F75542B" w14:textId="77777777" w:rsidR="003570ED" w:rsidRDefault="003570ED" w:rsidP="003570ED">
      <w:pPr>
        <w:pStyle w:val="Standard"/>
        <w:spacing w:before="285" w:line="240" w:lineRule="auto"/>
      </w:pPr>
      <w:r>
        <w:rPr>
          <w:rFonts w:ascii="Times" w:eastAsia="Times" w:hAnsi="Times" w:cs="Times"/>
          <w:color w:val="231F20"/>
          <w:sz w:val="17"/>
          <w:szCs w:val="17"/>
        </w:rPr>
        <w:t>0.0</w:t>
      </w:r>
    </w:p>
    <w:p w14:paraId="732AC74A" w14:textId="77777777" w:rsidR="003570ED" w:rsidRDefault="003570ED" w:rsidP="003570ED">
      <w:pPr>
        <w:pStyle w:val="Standard"/>
        <w:spacing w:line="240" w:lineRule="auto"/>
      </w:pPr>
      <w:r>
        <w:rPr>
          <w:color w:val="000000"/>
          <w:sz w:val="12"/>
          <w:szCs w:val="12"/>
        </w:rPr>
        <w:t>storage time interaction was significant (P = 0.022).</w:t>
      </w:r>
    </w:p>
    <w:p w14:paraId="4B2C61A3" w14:textId="77777777" w:rsidR="003570ED" w:rsidRDefault="003570ED" w:rsidP="003570ED">
      <w:pPr>
        <w:pStyle w:val="Standard"/>
        <w:spacing w:before="13" w:line="268" w:lineRule="auto"/>
      </w:pPr>
      <w:r>
        <w:rPr>
          <w:color w:val="000000"/>
          <w:sz w:val="15"/>
          <w:szCs w:val="15"/>
          <w:vertAlign w:val="superscript"/>
        </w:rPr>
        <w:t>a,b</w:t>
      </w:r>
      <w:r>
        <w:rPr>
          <w:color w:val="000000"/>
          <w:sz w:val="12"/>
          <w:szCs w:val="12"/>
        </w:rPr>
        <w:t>Within a storage time, means without common letters differ (P ≤ 0.05).</w:t>
      </w:r>
    </w:p>
    <w:p w14:paraId="00AA7885" w14:textId="77777777" w:rsidR="003570ED" w:rsidRDefault="003570ED" w:rsidP="003570ED">
      <w:pPr>
        <w:pStyle w:val="Standard"/>
        <w:spacing w:line="240" w:lineRule="auto"/>
      </w:pPr>
      <w:r>
        <w:rPr>
          <w:rFonts w:ascii="Times" w:eastAsia="Times" w:hAnsi="Times" w:cs="Times"/>
          <w:color w:val="231F20"/>
          <w:sz w:val="2"/>
          <w:szCs w:val="2"/>
        </w:rPr>
        <w:t>g</w:t>
      </w:r>
    </w:p>
    <w:p w14:paraId="26DE32AD" w14:textId="77777777" w:rsidR="003570ED" w:rsidRDefault="003570ED" w:rsidP="003570ED">
      <w:pPr>
        <w:pStyle w:val="Standard"/>
        <w:spacing w:before="45" w:line="240" w:lineRule="auto"/>
      </w:pPr>
      <w:r>
        <w:rPr>
          <w:rFonts w:ascii="Times" w:eastAsia="Times" w:hAnsi="Times" w:cs="Times"/>
          <w:color w:val="231F20"/>
          <w:sz w:val="2"/>
          <w:szCs w:val="2"/>
        </w:rPr>
        <w:t>/</w:t>
      </w:r>
    </w:p>
    <w:p w14:paraId="354ADEB5" w14:textId="77777777" w:rsidR="003570ED" w:rsidRDefault="003570ED" w:rsidP="003570ED">
      <w:pPr>
        <w:pStyle w:val="Standard"/>
        <w:spacing w:before="532" w:line="240" w:lineRule="auto"/>
      </w:pPr>
      <w:r>
        <w:rPr>
          <w:color w:val="000000"/>
          <w:sz w:val="12"/>
          <w:szCs w:val="12"/>
        </w:rPr>
        <w:t>Detection limit was 2 log CFU/g.</w:t>
      </w:r>
    </w:p>
    <w:p w14:paraId="144E8C27" w14:textId="77777777" w:rsidR="003570ED" w:rsidRDefault="003570ED" w:rsidP="003570ED">
      <w:pPr>
        <w:pStyle w:val="Standard"/>
        <w:spacing w:line="240" w:lineRule="auto"/>
      </w:pPr>
      <w:r>
        <w:rPr>
          <w:rFonts w:ascii="Times" w:eastAsia="Times" w:hAnsi="Times" w:cs="Times"/>
          <w:color w:val="231F20"/>
          <w:sz w:val="2"/>
          <w:szCs w:val="2"/>
        </w:rPr>
        <w:t>U</w:t>
      </w:r>
    </w:p>
    <w:p w14:paraId="24636D74" w14:textId="77777777" w:rsidR="003570ED" w:rsidRDefault="003570ED" w:rsidP="003570ED">
      <w:pPr>
        <w:pStyle w:val="Standard"/>
        <w:spacing w:before="97" w:line="240" w:lineRule="auto"/>
      </w:pPr>
      <w:r>
        <w:rPr>
          <w:rFonts w:ascii="Times" w:eastAsia="Times" w:hAnsi="Times" w:cs="Times"/>
          <w:color w:val="231F20"/>
          <w:sz w:val="2"/>
          <w:szCs w:val="2"/>
        </w:rPr>
        <w:t>F</w:t>
      </w:r>
    </w:p>
    <w:p w14:paraId="156ABC98" w14:textId="77777777" w:rsidR="003570ED" w:rsidRDefault="003570ED" w:rsidP="003570ED">
      <w:pPr>
        <w:pStyle w:val="Standard"/>
        <w:spacing w:before="117" w:line="240" w:lineRule="auto"/>
      </w:pPr>
      <w:r>
        <w:rPr>
          <w:rFonts w:ascii="Times" w:eastAsia="Times" w:hAnsi="Times" w:cs="Times"/>
          <w:color w:val="231F20"/>
          <w:sz w:val="2"/>
          <w:szCs w:val="2"/>
        </w:rPr>
        <w:t>C</w:t>
      </w:r>
    </w:p>
    <w:p w14:paraId="3AD1CCF4" w14:textId="77777777" w:rsidR="003570ED" w:rsidRDefault="003570ED" w:rsidP="003570ED">
      <w:pPr>
        <w:pStyle w:val="Standard"/>
        <w:spacing w:before="43" w:line="240" w:lineRule="auto"/>
      </w:pPr>
      <w:r>
        <w:rPr>
          <w:rFonts w:ascii="Times" w:eastAsia="Times" w:hAnsi="Times" w:cs="Times"/>
          <w:color w:val="231F20"/>
          <w:sz w:val="2"/>
          <w:szCs w:val="2"/>
        </w:rPr>
        <w:t xml:space="preserve"> </w:t>
      </w:r>
    </w:p>
    <w:p w14:paraId="1DB0718A" w14:textId="77777777" w:rsidR="003570ED" w:rsidRDefault="003570ED" w:rsidP="003570ED">
      <w:pPr>
        <w:pStyle w:val="Standard"/>
        <w:spacing w:before="87" w:line="240" w:lineRule="auto"/>
      </w:pPr>
      <w:r>
        <w:rPr>
          <w:rFonts w:ascii="Times" w:eastAsia="Times" w:hAnsi="Times" w:cs="Times"/>
          <w:color w:val="231F20"/>
          <w:sz w:val="2"/>
          <w:szCs w:val="2"/>
        </w:rPr>
        <w:t>g</w:t>
      </w:r>
    </w:p>
    <w:p w14:paraId="15008278" w14:textId="77777777" w:rsidR="003570ED" w:rsidRDefault="003570ED" w:rsidP="003570ED">
      <w:pPr>
        <w:pStyle w:val="Standard"/>
        <w:spacing w:before="87" w:line="240" w:lineRule="auto"/>
      </w:pPr>
      <w:r>
        <w:rPr>
          <w:rFonts w:ascii="Times" w:eastAsia="Times" w:hAnsi="Times" w:cs="Times"/>
          <w:color w:val="231F20"/>
          <w:sz w:val="2"/>
          <w:szCs w:val="2"/>
        </w:rPr>
        <w:t>o</w:t>
      </w:r>
    </w:p>
    <w:p w14:paraId="4F99E612" w14:textId="77777777" w:rsidR="003570ED" w:rsidRDefault="003570ED" w:rsidP="003570ED">
      <w:pPr>
        <w:pStyle w:val="Standard"/>
        <w:spacing w:before="48" w:line="240" w:lineRule="auto"/>
      </w:pPr>
      <w:r>
        <w:rPr>
          <w:rFonts w:ascii="Times" w:eastAsia="Times" w:hAnsi="Times" w:cs="Times"/>
          <w:color w:val="231F20"/>
          <w:sz w:val="2"/>
          <w:szCs w:val="2"/>
        </w:rPr>
        <w:t>l</w:t>
      </w:r>
    </w:p>
    <w:p w14:paraId="5E1C2E62"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3" w:space="720" w:equalWidth="0">
            <w:col w:w="3473" w:space="0"/>
            <w:col w:w="3473" w:space="0"/>
            <w:col w:w="3473" w:space="0"/>
          </w:cols>
        </w:sectPr>
      </w:pPr>
    </w:p>
    <w:p w14:paraId="7A2C4A60" w14:textId="77777777" w:rsidR="003570ED" w:rsidRDefault="003570ED" w:rsidP="003570ED">
      <w:pPr>
        <w:pStyle w:val="Standard"/>
        <w:spacing w:before="1341" w:line="360" w:lineRule="auto"/>
        <w:ind w:left="44" w:right="4565"/>
        <w:jc w:val="center"/>
      </w:pPr>
      <w:r>
        <w:rPr>
          <w:rFonts w:ascii="Times" w:eastAsia="Times" w:hAnsi="Times" w:cs="Times"/>
          <w:color w:val="231F20"/>
          <w:sz w:val="17"/>
          <w:szCs w:val="17"/>
        </w:rPr>
        <w:lastRenderedPageBreak/>
        <w:t>0 2 4 6 8 10 12 Storage time, d</w:t>
      </w:r>
    </w:p>
    <w:p w14:paraId="102E50D8"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5BE02DA2" w14:textId="77777777" w:rsidR="003570ED" w:rsidRDefault="003570ED" w:rsidP="003570ED">
      <w:pPr>
        <w:pStyle w:val="Standard"/>
        <w:spacing w:before="342" w:line="259" w:lineRule="auto"/>
        <w:ind w:right="190"/>
        <w:jc w:val="both"/>
      </w:pPr>
      <w:r>
        <w:rPr>
          <w:color w:val="000000"/>
          <w:sz w:val="15"/>
          <w:szCs w:val="15"/>
        </w:rPr>
        <w:t xml:space="preserve">was a result of minimal variation within and among days, indicating that the experiment was well-controlled. Supporting the findings in the current study, </w:t>
      </w:r>
      <w:r>
        <w:rPr>
          <w:color w:val="287CA5"/>
          <w:sz w:val="15"/>
          <w:szCs w:val="15"/>
        </w:rPr>
        <w:t xml:space="preserve">Mackey, Roberts, Mansfield, and Farkas (1980) </w:t>
      </w:r>
      <w:r>
        <w:rPr>
          <w:color w:val="000000"/>
          <w:sz w:val="15"/>
          <w:szCs w:val="15"/>
        </w:rPr>
        <w:t>reported that Salmonella multiplied very slowly in beef chilled at 7 °C or below. Therefore, 4 °C storage modeled in the current study, typical of modern meat processing, might have resulted in very slow Salmonella growth over a 10-d period. This finding suggested that raw beef mixtures during sausage processing could be stored at 4 °C with minimal pro liferation of pathogenic bacteria such as Salmonella. In addition to temperature effect, Salmonella count in GB was greater than in SB and BB, suggesting lethal effects of salt on Salmonella, similar to previous discussion on aerobic bacteria. Bactericidal impact of salt has been widely reported (</w:t>
      </w:r>
      <w:r>
        <w:rPr>
          <w:color w:val="287CA5"/>
          <w:sz w:val="15"/>
          <w:szCs w:val="15"/>
        </w:rPr>
        <w:t>Hajmeer, Ceylan, Marsden, &amp; Fung, 2006; Marsden, 1980; Sofos, 1984</w:t>
      </w:r>
      <w:r>
        <w:rPr>
          <w:color w:val="000000"/>
          <w:sz w:val="15"/>
          <w:szCs w:val="15"/>
        </w:rPr>
        <w:t xml:space="preserve">). </w:t>
      </w:r>
      <w:r>
        <w:rPr>
          <w:color w:val="287CA5"/>
          <w:sz w:val="15"/>
          <w:szCs w:val="15"/>
        </w:rPr>
        <w:t xml:space="preserve">Hajmeer et al. (2006) </w:t>
      </w:r>
      <w:r>
        <w:rPr>
          <w:color w:val="000000"/>
          <w:sz w:val="15"/>
          <w:szCs w:val="15"/>
        </w:rPr>
        <w:t xml:space="preserve">exposed Salmonella Typhi murium and E. coli O157:H7 to sodium chloride solutions of 0, 5, and 10% and observed that irregularities occurred in cellular morphology such as elongation, partial disintegration of cell membrane, and loss of cell integrity. </w:t>
      </w:r>
      <w:r>
        <w:rPr>
          <w:color w:val="287CA5"/>
          <w:sz w:val="15"/>
          <w:szCs w:val="15"/>
        </w:rPr>
        <w:t xml:space="preserve">Nguyen et al. (2017) </w:t>
      </w:r>
      <w:r>
        <w:rPr>
          <w:color w:val="000000"/>
          <w:sz w:val="15"/>
          <w:szCs w:val="15"/>
        </w:rPr>
        <w:t xml:space="preserve">similarly reported hyperosmotic stress, delaying fungal development in foods as a response to sodium chloride exposure and water activity reduction. </w:t>
      </w:r>
      <w:r>
        <w:rPr>
          <w:color w:val="287CA5"/>
          <w:sz w:val="15"/>
          <w:szCs w:val="15"/>
        </w:rPr>
        <w:t xml:space="preserve">Gibson, Bratchell, and Roberts (1988) </w:t>
      </w:r>
      <w:r>
        <w:rPr>
          <w:color w:val="000000"/>
          <w:sz w:val="15"/>
          <w:szCs w:val="15"/>
        </w:rPr>
        <w:t xml:space="preserve">observed a 3-fold increase in generation time of Sal monella in tryptic soy broth when salt concentration was increased from 0.8 to 4.5%, thereby slowing down the growth rate. It is worth noting that initial Salmonella counts in raw mixtures from three processing steps of both pre- and post-rigor beef were similar, indicating a well controlled and consistent preparation and inoculation among re plicates. Lethal impact of salt was also not observed in E. coli; however, a slight decrease was found in GB, which could be attributed to residual effect of 3% acetic acid spray during harvest. Upon chilling, the effects of organic acids were diminished. On the contrary, </w:t>
      </w:r>
      <w:r>
        <w:rPr>
          <w:color w:val="287CA5"/>
          <w:sz w:val="15"/>
          <w:szCs w:val="15"/>
        </w:rPr>
        <w:t xml:space="preserve">Glass, Loeffelholz, Ford, and Doyle (1992) </w:t>
      </w:r>
      <w:r>
        <w:rPr>
          <w:color w:val="000000"/>
          <w:sz w:val="15"/>
          <w:szCs w:val="15"/>
        </w:rPr>
        <w:t xml:space="preserve">and </w:t>
      </w:r>
      <w:r>
        <w:rPr>
          <w:color w:val="287CA5"/>
          <w:sz w:val="15"/>
          <w:szCs w:val="15"/>
        </w:rPr>
        <w:t xml:space="preserve">Omer et al. (2010) </w:t>
      </w:r>
      <w:r>
        <w:rPr>
          <w:color w:val="000000"/>
          <w:sz w:val="15"/>
          <w:szCs w:val="15"/>
        </w:rPr>
        <w:t>reported the bacterio static effect of 1.5% sodium chloride on in vitro growth of E. coli. However, various studies on E. coli O157:H7 indicated that this pa thogen survive salt concentration of &gt; 2.5% (</w:t>
      </w:r>
      <w:r>
        <w:rPr>
          <w:color w:val="287CA5"/>
          <w:sz w:val="15"/>
          <w:szCs w:val="15"/>
        </w:rPr>
        <w:t>Reitsma &amp; Henning, 1996; Winkler, Garcia, Olson, Callaway, &amp; Kao, 2014</w:t>
      </w:r>
      <w:r>
        <w:rPr>
          <w:color w:val="000000"/>
          <w:sz w:val="15"/>
          <w:szCs w:val="15"/>
        </w:rPr>
        <w:t>). Moreover, ex posure to acidic conditions such as residual organic acid sprayed on beef carcasses increased cross-protection against sodium chloride (</w:t>
      </w:r>
      <w:r>
        <w:rPr>
          <w:color w:val="287CA5"/>
          <w:sz w:val="15"/>
          <w:szCs w:val="15"/>
        </w:rPr>
        <w:t>Garren, Harrison, &amp; Russell, 1998</w:t>
      </w:r>
      <w:r>
        <w:rPr>
          <w:color w:val="000000"/>
          <w:sz w:val="15"/>
          <w:szCs w:val="15"/>
        </w:rPr>
        <w:t>). This finding emphasizes the im portance of controlling E. coli in beef processing because unless anti microbials are used, salting and other further processes may not provide sufficient lethal effects on E. coli. In the current study, E. coli count was not increased further on d 7 and 10 and was similar among processing steps. This phenomenon might be explained by competitive inhibition of pathogenic bacteria by spoilage microflora (</w:t>
      </w:r>
      <w:r>
        <w:rPr>
          <w:color w:val="287CA5"/>
          <w:sz w:val="15"/>
          <w:szCs w:val="15"/>
        </w:rPr>
        <w:t>Mattila-Sandholm &amp; Skytta, 1991</w:t>
      </w:r>
      <w:r>
        <w:rPr>
          <w:color w:val="000000"/>
          <w:sz w:val="15"/>
          <w:szCs w:val="15"/>
        </w:rPr>
        <w:t>).</w:t>
      </w:r>
    </w:p>
    <w:p w14:paraId="42437E69" w14:textId="77777777" w:rsidR="003570ED" w:rsidRDefault="003570ED" w:rsidP="003570ED">
      <w:pPr>
        <w:pStyle w:val="Standard"/>
        <w:spacing w:before="9949" w:line="240" w:lineRule="auto"/>
      </w:pPr>
      <w:r>
        <w:rPr>
          <w:color w:val="000000"/>
          <w:sz w:val="12"/>
          <w:szCs w:val="12"/>
        </w:rPr>
        <w:t>54</w:t>
      </w:r>
    </w:p>
    <w:p w14:paraId="325564D4" w14:textId="77777777" w:rsidR="003570ED" w:rsidRDefault="003570ED" w:rsidP="003570ED">
      <w:pPr>
        <w:pStyle w:val="Standard"/>
        <w:spacing w:line="240" w:lineRule="auto"/>
        <w:ind w:left="164"/>
      </w:pPr>
      <w:r>
        <w:rPr>
          <w:color w:val="000000"/>
          <w:sz w:val="15"/>
          <w:szCs w:val="15"/>
        </w:rPr>
        <w:t>4. Conclusion</w:t>
      </w:r>
    </w:p>
    <w:p w14:paraId="1109D4F6" w14:textId="77777777" w:rsidR="003570ED" w:rsidRDefault="003570ED" w:rsidP="003570ED">
      <w:pPr>
        <w:pStyle w:val="Standard"/>
        <w:spacing w:before="232" w:line="259" w:lineRule="auto"/>
        <w:ind w:left="160" w:right="29" w:firstLine="250"/>
        <w:jc w:val="both"/>
      </w:pPr>
      <w:r>
        <w:rPr>
          <w:color w:val="000000"/>
          <w:sz w:val="15"/>
          <w:szCs w:val="15"/>
        </w:rPr>
        <w:t>The findings in the current study suggested that pre-rigor beef, si milar to post-rigor beef, if processed and stored properly under re frigeration within 7 d of deboning, can be used to produce cooked beef sausage without foreseeable bacteriological risks. Salting and re frigeration are the deciding processing steps to minimize growth of aerobic bacteria, including Salmonella, however, are less effective on E. coli. Cooked pre-rigor sausage can be refrigerated in vacuum packages for 30 d without significant microbial growth. Above 30 d, although aerobic bacteria remained below spoilage level, lactic acid bacteria in vacuum environment reached 3 to 4 log CFU/g from a non-detectable level on d 0, resulting in pH decline and possible development of un desirable flavors such as sourness. Organoleptic attributes of cooked sausage must be evaluated to ascertain the end of shelf life.</w:t>
      </w:r>
    </w:p>
    <w:p w14:paraId="413BA0D5" w14:textId="77777777" w:rsidR="003570ED" w:rsidRDefault="003570ED" w:rsidP="003570ED">
      <w:pPr>
        <w:pStyle w:val="Standard"/>
        <w:spacing w:before="217" w:line="240" w:lineRule="auto"/>
        <w:ind w:left="159"/>
      </w:pPr>
      <w:r>
        <w:rPr>
          <w:color w:val="000000"/>
          <w:sz w:val="15"/>
          <w:szCs w:val="15"/>
        </w:rPr>
        <w:lastRenderedPageBreak/>
        <w:t>Acknowledgement</w:t>
      </w:r>
    </w:p>
    <w:p w14:paraId="2795DF73" w14:textId="77777777" w:rsidR="003570ED" w:rsidRDefault="003570ED" w:rsidP="003570ED">
      <w:pPr>
        <w:pStyle w:val="Standard"/>
        <w:spacing w:before="232" w:line="259" w:lineRule="auto"/>
        <w:ind w:left="163" w:right="44" w:firstLine="246"/>
        <w:jc w:val="both"/>
      </w:pPr>
      <w:r>
        <w:rPr>
          <w:color w:val="000000"/>
          <w:sz w:val="15"/>
          <w:szCs w:val="15"/>
        </w:rPr>
        <w:t>This material is based upon work that is supported by the National Institute of Food and Agriculture, U.S. Department of Agriculture, Hatch project under accession number 1005778.</w:t>
      </w:r>
    </w:p>
    <w:p w14:paraId="3BAA10F9" w14:textId="77777777" w:rsidR="003570ED" w:rsidRDefault="003570ED" w:rsidP="003570ED">
      <w:pPr>
        <w:pStyle w:val="Standard"/>
        <w:spacing w:before="217" w:line="240" w:lineRule="auto"/>
        <w:ind w:left="163"/>
      </w:pPr>
      <w:r>
        <w:rPr>
          <w:color w:val="000000"/>
          <w:sz w:val="15"/>
          <w:szCs w:val="15"/>
        </w:rPr>
        <w:t>References</w:t>
      </w:r>
    </w:p>
    <w:p w14:paraId="065A0444" w14:textId="77777777" w:rsidR="003570ED" w:rsidRDefault="003570ED" w:rsidP="003570ED">
      <w:pPr>
        <w:pStyle w:val="Standard"/>
        <w:spacing w:before="264" w:line="244" w:lineRule="auto"/>
        <w:ind w:left="396" w:right="143" w:hanging="237"/>
      </w:pPr>
      <w:r>
        <w:rPr>
          <w:color w:val="287CA5"/>
          <w:sz w:val="12"/>
          <w:szCs w:val="12"/>
        </w:rPr>
        <w:t>Aaslyng, M. D., Vestergaard, C., &amp; Koch, A. G. (2014). The effect of salt reduction on sensory quality and microbial growth in hotdog sausages, bacon, ham and salami. Meat Science, 96(1), 47–55</w:t>
      </w:r>
      <w:r>
        <w:rPr>
          <w:color w:val="000000"/>
          <w:sz w:val="12"/>
          <w:szCs w:val="12"/>
        </w:rPr>
        <w:t>.</w:t>
      </w:r>
    </w:p>
    <w:p w14:paraId="46625615" w14:textId="77777777" w:rsidR="003570ED" w:rsidRDefault="003570ED" w:rsidP="003570ED">
      <w:pPr>
        <w:pStyle w:val="Standard"/>
        <w:spacing w:before="4" w:line="247" w:lineRule="auto"/>
        <w:ind w:left="396" w:right="43" w:hanging="236"/>
        <w:jc w:val="both"/>
      </w:pPr>
      <w:r>
        <w:rPr>
          <w:color w:val="287CA5"/>
          <w:sz w:val="12"/>
          <w:szCs w:val="12"/>
        </w:rPr>
        <w:t>Aronsson, K., &amp; Rönner, U. (2001). Influence of pH, water activity and temperature on the inactivation of Escherichia coli and Saccharomyces cerevisiae by pulsed electric fields. Innovative Food Science &amp; Emerging Technologies, 2(2), 105–112</w:t>
      </w:r>
      <w:r>
        <w:rPr>
          <w:color w:val="000000"/>
          <w:sz w:val="12"/>
          <w:szCs w:val="12"/>
        </w:rPr>
        <w:t>.</w:t>
      </w:r>
    </w:p>
    <w:p w14:paraId="458D3201" w14:textId="77777777" w:rsidR="003570ED" w:rsidRDefault="003570ED" w:rsidP="003570ED">
      <w:pPr>
        <w:pStyle w:val="Standard"/>
        <w:spacing w:before="4" w:line="247" w:lineRule="auto"/>
        <w:ind w:left="403" w:right="56" w:hanging="240"/>
      </w:pPr>
      <w:r>
        <w:rPr>
          <w:color w:val="287CA5"/>
          <w:sz w:val="12"/>
          <w:szCs w:val="12"/>
        </w:rPr>
        <w:t>Barbut, S. (2014). Review: Automation and meat quality-global challenges. Meat Science, 96(1), 335–345</w:t>
      </w:r>
      <w:r>
        <w:rPr>
          <w:color w:val="000000"/>
          <w:sz w:val="12"/>
          <w:szCs w:val="12"/>
        </w:rPr>
        <w:t>.</w:t>
      </w:r>
    </w:p>
    <w:p w14:paraId="54C42A0D" w14:textId="77777777" w:rsidR="003570ED" w:rsidRDefault="003570ED" w:rsidP="003570ED">
      <w:pPr>
        <w:pStyle w:val="Standard"/>
        <w:spacing w:before="4" w:line="247" w:lineRule="auto"/>
        <w:ind w:left="396" w:right="220" w:hanging="233"/>
      </w:pPr>
      <w:r>
        <w:rPr>
          <w:color w:val="287CA5"/>
          <w:sz w:val="12"/>
          <w:szCs w:val="12"/>
        </w:rPr>
        <w:t xml:space="preserve">Borch, E., Nerbrink, E., &amp; Svensson, P. (1988). Identification of major contamination </w:t>
      </w:r>
      <w:r>
        <w:rPr>
          <w:color w:val="287CA5"/>
          <w:sz w:val="12"/>
          <w:szCs w:val="12"/>
        </w:rPr>
        <w:t>sources during processing of emulsion sausage. International Journal of Food Microbiology, 7(4), 317–330</w:t>
      </w:r>
      <w:r>
        <w:rPr>
          <w:color w:val="000000"/>
          <w:sz w:val="12"/>
          <w:szCs w:val="12"/>
        </w:rPr>
        <w:t>.</w:t>
      </w:r>
    </w:p>
    <w:p w14:paraId="048E1ED3" w14:textId="77777777" w:rsidR="003570ED" w:rsidRDefault="003570ED" w:rsidP="003570ED">
      <w:pPr>
        <w:pStyle w:val="Standard"/>
        <w:spacing w:before="4" w:line="244" w:lineRule="auto"/>
        <w:ind w:left="391" w:right="44" w:hanging="228"/>
        <w:jc w:val="both"/>
      </w:pPr>
      <w:r>
        <w:rPr>
          <w:color w:val="287CA5"/>
          <w:sz w:val="12"/>
          <w:szCs w:val="12"/>
        </w:rPr>
        <w:t>Bosilevac, J. M., Guerini, M. N., Kalchayanand, N., &amp; Koohmaraie, M. (2009). Prevalence and characterization of Salmonellae in commercial ground beef in the United States. Applied and Environmental Microbiology, 75(7), 1892–1900</w:t>
      </w:r>
      <w:r>
        <w:rPr>
          <w:color w:val="000000"/>
          <w:sz w:val="12"/>
          <w:szCs w:val="12"/>
        </w:rPr>
        <w:t>.</w:t>
      </w:r>
    </w:p>
    <w:p w14:paraId="5B413FEB" w14:textId="77777777" w:rsidR="003570ED" w:rsidRDefault="003570ED" w:rsidP="003570ED">
      <w:pPr>
        <w:pStyle w:val="Standard"/>
        <w:spacing w:before="5" w:line="244" w:lineRule="auto"/>
        <w:ind w:left="399" w:right="268" w:hanging="236"/>
      </w:pPr>
      <w:r>
        <w:rPr>
          <w:color w:val="287CA5"/>
          <w:sz w:val="12"/>
          <w:szCs w:val="12"/>
        </w:rPr>
        <w:t>Chung, K. T., Dickson, I. S., &amp; Grouse, I. D. (1989). Attachment and proliferation of bacteria on meat. Journal of Food Protection, 52(3), 173–177</w:t>
      </w:r>
      <w:r>
        <w:rPr>
          <w:color w:val="000000"/>
          <w:sz w:val="12"/>
          <w:szCs w:val="12"/>
        </w:rPr>
        <w:t>.</w:t>
      </w:r>
    </w:p>
    <w:p w14:paraId="713E0E35" w14:textId="77777777" w:rsidR="003570ED" w:rsidRDefault="003570ED" w:rsidP="003570ED">
      <w:pPr>
        <w:pStyle w:val="Standard"/>
        <w:spacing w:before="6" w:line="244" w:lineRule="auto"/>
        <w:ind w:left="163" w:right="175"/>
        <w:jc w:val="center"/>
      </w:pPr>
      <w:r>
        <w:rPr>
          <w:color w:val="287CA5"/>
          <w:sz w:val="12"/>
          <w:szCs w:val="12"/>
        </w:rPr>
        <w:t>Claus, J. R., Jordan, L., Eigel, W. N., Marriott, N. G., &amp; Shaw, D. E. (1998). Calcium chelators and salt extracted myofibrillar protein injection into lean pre-rigor beef muscle: Effects on tenderness indices. Journal of Muscle Foods, 9(4), 329–338</w:t>
      </w:r>
      <w:r>
        <w:rPr>
          <w:color w:val="000000"/>
          <w:sz w:val="12"/>
          <w:szCs w:val="12"/>
        </w:rPr>
        <w:t>.</w:t>
      </w:r>
    </w:p>
    <w:p w14:paraId="74B40069" w14:textId="77777777" w:rsidR="003570ED" w:rsidRDefault="003570ED" w:rsidP="003570ED">
      <w:pPr>
        <w:pStyle w:val="Standard"/>
        <w:spacing w:before="5" w:line="244" w:lineRule="auto"/>
        <w:ind w:left="400" w:right="41" w:hanging="236"/>
      </w:pPr>
      <w:r>
        <w:rPr>
          <w:color w:val="287CA5"/>
          <w:sz w:val="12"/>
          <w:szCs w:val="12"/>
        </w:rPr>
        <w:t>Claus, J. R., &amp; Sorheim, O. (2006). Preserving pre-rigor meat functionality for beef patty production. Meat Science, 73(2), 287–294</w:t>
      </w:r>
      <w:r>
        <w:rPr>
          <w:color w:val="000000"/>
          <w:sz w:val="12"/>
          <w:szCs w:val="12"/>
        </w:rPr>
        <w:t>.</w:t>
      </w:r>
    </w:p>
    <w:p w14:paraId="3880B168" w14:textId="77777777" w:rsidR="003570ED" w:rsidRDefault="003570ED" w:rsidP="003570ED">
      <w:pPr>
        <w:pStyle w:val="Standard"/>
        <w:spacing w:before="6" w:line="244" w:lineRule="auto"/>
        <w:ind w:left="402" w:right="44" w:hanging="238"/>
        <w:jc w:val="both"/>
      </w:pPr>
      <w:r>
        <w:rPr>
          <w:color w:val="287CA5"/>
          <w:sz w:val="12"/>
          <w:szCs w:val="12"/>
        </w:rPr>
        <w:t>Claus, J. R., Wang, H., &amp; Marriott, N. G. (1997). Pre-rigor carcass muscle stretching effects on tenderness of grain-fed beef under commercial conditions. Journal of Food Science, 62(6), 1231–1234</w:t>
      </w:r>
      <w:r>
        <w:rPr>
          <w:color w:val="000000"/>
          <w:sz w:val="12"/>
          <w:szCs w:val="12"/>
        </w:rPr>
        <w:t>.</w:t>
      </w:r>
    </w:p>
    <w:p w14:paraId="3C22C6F6" w14:textId="77777777" w:rsidR="003570ED" w:rsidRDefault="003570ED" w:rsidP="003570ED">
      <w:pPr>
        <w:pStyle w:val="Standard"/>
        <w:spacing w:before="5" w:line="244" w:lineRule="auto"/>
        <w:ind w:left="402" w:right="51" w:hanging="239"/>
      </w:pPr>
      <w:r>
        <w:rPr>
          <w:color w:val="000000"/>
          <w:sz w:val="12"/>
          <w:szCs w:val="12"/>
        </w:rPr>
        <w:t>Claussen, C. M., McElroy, B. R., Wilson, B. T., Boetel, D. J., Chu, H. Y., &amp; Hollenbeck, J. J. (2017). U.S. Patent No. 9687013B2. Washington, DC: U.S. Patent and Trademark Office.</w:t>
      </w:r>
    </w:p>
    <w:p w14:paraId="1D379F97" w14:textId="77777777" w:rsidR="003570ED" w:rsidRDefault="003570ED" w:rsidP="003570ED">
      <w:pPr>
        <w:pStyle w:val="Standard"/>
        <w:spacing w:before="4" w:line="247" w:lineRule="auto"/>
        <w:ind w:left="401" w:right="48" w:hanging="238"/>
      </w:pPr>
      <w:r>
        <w:rPr>
          <w:color w:val="287CA5"/>
          <w:sz w:val="12"/>
          <w:szCs w:val="12"/>
        </w:rPr>
        <w:t>Dorsa, W. J., Cutter, C. N., &amp; Sirgusa, G. R. (1998). Long-term bacterial profile of re frigerated ground beef made from carcass tissue, experimentally contaminated with</w:t>
      </w:r>
    </w:p>
    <w:p w14:paraId="79F21D9F"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num="2" w:space="720" w:equalWidth="0">
            <w:col w:w="5210" w:space="0"/>
            <w:col w:w="5209" w:space="0"/>
          </w:cols>
        </w:sectPr>
      </w:pPr>
    </w:p>
    <w:p w14:paraId="58675EB0" w14:textId="77777777" w:rsidR="003570ED" w:rsidRDefault="003570ED" w:rsidP="003570ED">
      <w:pPr>
        <w:pStyle w:val="Standard"/>
        <w:spacing w:line="240" w:lineRule="auto"/>
        <w:jc w:val="center"/>
      </w:pPr>
      <w:r>
        <w:rPr>
          <w:color w:val="000000"/>
          <w:sz w:val="12"/>
          <w:szCs w:val="12"/>
        </w:rPr>
        <w:t xml:space="preserve">A.T. Sukumaran et al. </w:t>
      </w:r>
      <w:r>
        <w:rPr>
          <w:i/>
          <w:color w:val="000000"/>
          <w:sz w:val="12"/>
          <w:szCs w:val="12"/>
        </w:rPr>
        <w:t>Meat Science 139 (2018) 49–55</w:t>
      </w:r>
    </w:p>
    <w:p w14:paraId="10A85E95" w14:textId="77777777" w:rsidR="003570ED" w:rsidRDefault="003570ED" w:rsidP="003570ED">
      <w:pPr>
        <w:rPr>
          <w:rFonts w:cs="Mangal"/>
          <w:szCs w:val="20"/>
        </w:rPr>
        <w:sectPr w:rsidR="003570ED">
          <w:type w:val="continuous"/>
          <w:pgSz w:w="11906" w:h="15860"/>
          <w:pgMar w:top="711" w:right="742" w:bottom="554" w:left="745" w:header="720" w:footer="720" w:gutter="0"/>
          <w:pgNumType w:start="1"/>
          <w:cols w:space="720"/>
        </w:sectPr>
      </w:pPr>
    </w:p>
    <w:p w14:paraId="26412909" w14:textId="77777777" w:rsidR="003570ED" w:rsidRDefault="003570ED" w:rsidP="003570ED">
      <w:pPr>
        <w:pStyle w:val="Standard"/>
        <w:spacing w:before="314" w:line="244" w:lineRule="auto"/>
        <w:ind w:left="240" w:right="202" w:hanging="1"/>
      </w:pPr>
      <w:r>
        <w:rPr>
          <w:color w:val="287CA5"/>
          <w:sz w:val="12"/>
          <w:szCs w:val="12"/>
        </w:rPr>
        <w:t>pathogens and spoilage bacteria after hot water, alkaline organic acid washes. Journal of Food Protection, 61(12), 1615–1622</w:t>
      </w:r>
      <w:r>
        <w:rPr>
          <w:color w:val="000000"/>
          <w:sz w:val="12"/>
          <w:szCs w:val="12"/>
        </w:rPr>
        <w:t>.</w:t>
      </w:r>
    </w:p>
    <w:p w14:paraId="2CD00CDF" w14:textId="77777777" w:rsidR="003570ED" w:rsidRDefault="003570ED" w:rsidP="003570ED">
      <w:pPr>
        <w:pStyle w:val="Standard"/>
        <w:spacing w:before="6" w:line="244" w:lineRule="auto"/>
        <w:ind w:left="234" w:right="206" w:hanging="233"/>
      </w:pPr>
      <w:r>
        <w:rPr>
          <w:color w:val="287CA5"/>
          <w:sz w:val="12"/>
          <w:szCs w:val="12"/>
        </w:rPr>
        <w:t>Dykes, G. A., Cloete, T. E., &amp; von Holy, A. (1991). Quantification of microbial populations associated with the manufacture of vacuum-packaged, smoked Vienna sausages. International Journal of Food Microbiology, 13(4), 239–248</w:t>
      </w:r>
      <w:r>
        <w:rPr>
          <w:color w:val="000000"/>
          <w:sz w:val="12"/>
          <w:szCs w:val="12"/>
        </w:rPr>
        <w:t>.</w:t>
      </w:r>
    </w:p>
    <w:p w14:paraId="448A8F3E" w14:textId="77777777" w:rsidR="003570ED" w:rsidRDefault="003570ED" w:rsidP="003570ED">
      <w:pPr>
        <w:pStyle w:val="Standard"/>
        <w:spacing w:before="4" w:line="247" w:lineRule="auto"/>
        <w:ind w:left="234" w:right="203" w:hanging="233"/>
      </w:pPr>
      <w:r>
        <w:rPr>
          <w:color w:val="287CA5"/>
          <w:sz w:val="12"/>
          <w:szCs w:val="12"/>
        </w:rPr>
        <w:t>Eisel, W., Linton, R., &amp; Muriana, P. M. (1997). A survey of microbial levels for incoming raw beef, environmental sources, and ground beef in a red meat processing plant. Food Microbiology, 14(3), 273–282</w:t>
      </w:r>
      <w:r>
        <w:rPr>
          <w:color w:val="000000"/>
          <w:sz w:val="12"/>
          <w:szCs w:val="12"/>
        </w:rPr>
        <w:t>.</w:t>
      </w:r>
    </w:p>
    <w:p w14:paraId="12A61B43" w14:textId="77777777" w:rsidR="003570ED" w:rsidRDefault="003570ED" w:rsidP="003570ED">
      <w:pPr>
        <w:pStyle w:val="Standard"/>
        <w:spacing w:before="4" w:line="247" w:lineRule="auto"/>
        <w:ind w:left="229" w:right="211" w:hanging="228"/>
      </w:pPr>
      <w:r>
        <w:rPr>
          <w:color w:val="287CA5"/>
          <w:sz w:val="12"/>
          <w:szCs w:val="12"/>
        </w:rPr>
        <w:t>Ercolini, D., Ferrocino, I., Nasi, A., Ndagijimana, M., Vernocchi, P., La Storia, A., Laghi, L., Mauriello, G., Guerzoni, M. E., &amp; Villani, F. (2011). Monitoring of microbial meta bolites and bacterial diversity in beef stored under different packaging conditions. Applied and Environmental Microbiology, 77(20), 7372–7381</w:t>
      </w:r>
      <w:r>
        <w:rPr>
          <w:color w:val="000000"/>
          <w:sz w:val="12"/>
          <w:szCs w:val="12"/>
        </w:rPr>
        <w:t>.</w:t>
      </w:r>
    </w:p>
    <w:p w14:paraId="097095BC" w14:textId="77777777" w:rsidR="003570ED" w:rsidRDefault="003570ED" w:rsidP="003570ED">
      <w:pPr>
        <w:pStyle w:val="Standard"/>
        <w:spacing w:before="5" w:line="244" w:lineRule="auto"/>
        <w:ind w:right="527"/>
        <w:jc w:val="center"/>
      </w:pPr>
      <w:r>
        <w:rPr>
          <w:color w:val="287CA5"/>
          <w:sz w:val="12"/>
          <w:szCs w:val="12"/>
        </w:rPr>
        <w:t>Fung, D. Y. C., Kastner, C. L., Hunt, M. C., Dikeman, M. E., &amp; Kropf, D. H. (1980). Mesophilic and psychrotrophic bacterial populations on hot-boned and con ventionally processed beef. Journal of Food Protection, 43(7), 547–550</w:t>
      </w:r>
      <w:r>
        <w:rPr>
          <w:color w:val="000000"/>
          <w:sz w:val="12"/>
          <w:szCs w:val="12"/>
        </w:rPr>
        <w:t>.</w:t>
      </w:r>
    </w:p>
    <w:p w14:paraId="3F2D1035" w14:textId="77777777" w:rsidR="003570ED" w:rsidRDefault="003570ED" w:rsidP="003570ED">
      <w:pPr>
        <w:pStyle w:val="Standard"/>
        <w:spacing w:before="4" w:line="247" w:lineRule="auto"/>
        <w:ind w:left="238" w:right="244" w:hanging="237"/>
      </w:pPr>
      <w:r>
        <w:rPr>
          <w:color w:val="287CA5"/>
          <w:sz w:val="12"/>
          <w:szCs w:val="12"/>
        </w:rPr>
        <w:t>Garren, D. M., Harrison, M. A., &amp; Russell, S. M. (1998). Acid tolerance and acid shock response of Escherichia coli O157: H7 and non-O157: H7 isolates provide cross pro tection to sodium lactate and sodium chloride. Journal of Food Protection, 61(2), 158–161</w:t>
      </w:r>
      <w:r>
        <w:rPr>
          <w:color w:val="000000"/>
          <w:sz w:val="12"/>
          <w:szCs w:val="12"/>
        </w:rPr>
        <w:t>.</w:t>
      </w:r>
    </w:p>
    <w:p w14:paraId="3ED3A2F6" w14:textId="77777777" w:rsidR="003570ED" w:rsidRDefault="003570ED" w:rsidP="003570ED">
      <w:pPr>
        <w:pStyle w:val="Standard"/>
        <w:spacing w:before="5" w:line="244" w:lineRule="auto"/>
        <w:ind w:left="238" w:right="204" w:hanging="237"/>
        <w:jc w:val="both"/>
      </w:pPr>
      <w:r>
        <w:rPr>
          <w:color w:val="287CA5"/>
          <w:sz w:val="12"/>
          <w:szCs w:val="12"/>
        </w:rPr>
        <w:t>Gibson, A. M., Bratchell, N., &amp; Roberts, T. A. (1988). Predicting microbial growth: Growth responses of Salmonellae in a laboratory medium as affected by pH, sodium chloride and storage temperature. International Journal of Food Microbiology, 6(2), 155–178</w:t>
      </w:r>
      <w:r>
        <w:rPr>
          <w:color w:val="000000"/>
          <w:sz w:val="12"/>
          <w:szCs w:val="12"/>
        </w:rPr>
        <w:t>.</w:t>
      </w:r>
    </w:p>
    <w:p w14:paraId="581F8BCF" w14:textId="77777777" w:rsidR="003570ED" w:rsidRDefault="003570ED" w:rsidP="003570ED">
      <w:pPr>
        <w:pStyle w:val="Standard"/>
        <w:spacing w:before="4" w:line="247" w:lineRule="auto"/>
        <w:ind w:left="240" w:right="201" w:hanging="238"/>
        <w:jc w:val="both"/>
      </w:pPr>
      <w:r>
        <w:rPr>
          <w:color w:val="287CA5"/>
          <w:sz w:val="12"/>
          <w:szCs w:val="12"/>
        </w:rPr>
        <w:t>Glass, K. A., Loeffelholz, J. M., Ford, J. P., &amp; Doyle, M. P. (1992). Fate of Escherichia coli O157: H7 as affected by pH or sodium chloride and in fermented, dry sausage. Applied and Environmental Microbiology, 58(8), 2513–2516</w:t>
      </w:r>
      <w:r>
        <w:rPr>
          <w:color w:val="000000"/>
          <w:sz w:val="12"/>
          <w:szCs w:val="12"/>
        </w:rPr>
        <w:t>.</w:t>
      </w:r>
    </w:p>
    <w:p w14:paraId="4D43793D" w14:textId="77777777" w:rsidR="003570ED" w:rsidRDefault="003570ED" w:rsidP="003570ED">
      <w:pPr>
        <w:pStyle w:val="Standard"/>
        <w:spacing w:before="4" w:line="244" w:lineRule="auto"/>
        <w:ind w:left="239" w:right="193" w:hanging="237"/>
        <w:jc w:val="both"/>
      </w:pPr>
      <w:r>
        <w:rPr>
          <w:color w:val="287CA5"/>
          <w:sz w:val="12"/>
          <w:szCs w:val="12"/>
        </w:rPr>
        <w:t>Grau, F. H., &amp; Vanderlinde, P. B. (1993). Aerobic growth of Listeria monocytogenes on beef lean and fatty tissue: Equations describing the effects of temperature and ph. Journal of Food Protection, 56(2), 96–101</w:t>
      </w:r>
      <w:r>
        <w:rPr>
          <w:color w:val="000000"/>
          <w:sz w:val="12"/>
          <w:szCs w:val="12"/>
        </w:rPr>
        <w:t>.</w:t>
      </w:r>
    </w:p>
    <w:p w14:paraId="308EE85C" w14:textId="77777777" w:rsidR="003570ED" w:rsidRDefault="003570ED" w:rsidP="003570ED">
      <w:pPr>
        <w:pStyle w:val="Standard"/>
        <w:spacing w:before="5" w:line="244" w:lineRule="auto"/>
        <w:ind w:left="240" w:right="205" w:hanging="239"/>
      </w:pPr>
      <w:r>
        <w:rPr>
          <w:color w:val="287CA5"/>
          <w:sz w:val="12"/>
          <w:szCs w:val="12"/>
        </w:rPr>
        <w:t>Hajmeer, M., Ceylan, E., Marsden, J. L., &amp; Fung, D. Y. (2006). Impact of sodium chloride on Escherichia coli O157: H7 and Staphylococcus aureus analyzed using transmission electron microscopy. Food Microbiology, 23(5), 446–452</w:t>
      </w:r>
      <w:r>
        <w:rPr>
          <w:color w:val="000000"/>
          <w:sz w:val="12"/>
          <w:szCs w:val="12"/>
        </w:rPr>
        <w:t>.</w:t>
      </w:r>
    </w:p>
    <w:p w14:paraId="7574EB08" w14:textId="77777777" w:rsidR="003570ED" w:rsidRDefault="003570ED" w:rsidP="003570ED">
      <w:pPr>
        <w:pStyle w:val="Standard"/>
        <w:spacing w:before="5" w:line="244" w:lineRule="auto"/>
        <w:ind w:left="239" w:right="326" w:hanging="238"/>
      </w:pPr>
      <w:r>
        <w:rPr>
          <w:color w:val="287CA5"/>
          <w:sz w:val="12"/>
          <w:szCs w:val="12"/>
        </w:rPr>
        <w:t>Hamm, R. (1977). Postmortem break down of ATP and glycogen in ground muscle: A review. Meat Science, 1(1), 15–39</w:t>
      </w:r>
      <w:r>
        <w:rPr>
          <w:color w:val="000000"/>
          <w:sz w:val="12"/>
          <w:szCs w:val="12"/>
        </w:rPr>
        <w:t>.</w:t>
      </w:r>
    </w:p>
    <w:p w14:paraId="21699B67" w14:textId="77777777" w:rsidR="003570ED" w:rsidRDefault="003570ED" w:rsidP="003570ED">
      <w:pPr>
        <w:pStyle w:val="Standard"/>
        <w:spacing w:before="6" w:line="244" w:lineRule="auto"/>
        <w:ind w:left="234" w:right="193" w:hanging="234"/>
      </w:pPr>
      <w:r>
        <w:rPr>
          <w:color w:val="287CA5"/>
          <w:sz w:val="12"/>
          <w:szCs w:val="12"/>
        </w:rPr>
        <w:t>Jay, J. M., Vilai, J. P., &amp; Hughes, M. E. (2003). Profile and activity of the bacterial biota of ground beef held from freshness to spoilage at 5–7 °C. International Journal of Food Microbiology, 81(2), 105–111</w:t>
      </w:r>
      <w:r>
        <w:rPr>
          <w:color w:val="000000"/>
          <w:sz w:val="12"/>
          <w:szCs w:val="12"/>
        </w:rPr>
        <w:t>.</w:t>
      </w:r>
    </w:p>
    <w:p w14:paraId="6B7B7DE1" w14:textId="77777777" w:rsidR="003570ED" w:rsidRDefault="003570ED" w:rsidP="003570ED">
      <w:pPr>
        <w:pStyle w:val="Standard"/>
        <w:spacing w:before="5" w:line="244" w:lineRule="auto"/>
        <w:ind w:left="238" w:right="204" w:hanging="237"/>
      </w:pPr>
      <w:r>
        <w:rPr>
          <w:color w:val="287CA5"/>
          <w:sz w:val="12"/>
          <w:szCs w:val="12"/>
        </w:rPr>
        <w:t>Korkeala, H., Lindroth, S., Ahvenainen, R., &amp; Alanko, T. (1987). Interrelationship between microbial numbers and other parameters in the spoilage of vacuum-packed cooked ring sausages. International Journal of Food Microbiology, 5(4), 311–321</w:t>
      </w:r>
      <w:r>
        <w:rPr>
          <w:color w:val="000000"/>
          <w:sz w:val="12"/>
          <w:szCs w:val="12"/>
        </w:rPr>
        <w:t>.</w:t>
      </w:r>
    </w:p>
    <w:p w14:paraId="7B991B2B" w14:textId="77777777" w:rsidR="003570ED" w:rsidRDefault="003570ED" w:rsidP="003570ED">
      <w:pPr>
        <w:pStyle w:val="Standard"/>
        <w:spacing w:before="4" w:line="247" w:lineRule="auto"/>
        <w:ind w:left="240" w:right="205" w:hanging="239"/>
        <w:jc w:val="both"/>
      </w:pPr>
      <w:r>
        <w:rPr>
          <w:color w:val="287CA5"/>
          <w:sz w:val="12"/>
          <w:szCs w:val="12"/>
        </w:rPr>
        <w:t>Koutsidis, G., Elmore, J. S., Oruna-Concha, M. J., Campo, M. M., Wood, J. D., &amp; Mottram, D. S. (2008). Water-soluble precursors of beef flavour. Part II: Effect of post-mortem conditioning. Meat Science, 79(2), 270–277</w:t>
      </w:r>
      <w:r>
        <w:rPr>
          <w:color w:val="000000"/>
          <w:sz w:val="12"/>
          <w:szCs w:val="12"/>
        </w:rPr>
        <w:t>.</w:t>
      </w:r>
    </w:p>
    <w:p w14:paraId="3BB43955" w14:textId="77777777" w:rsidR="003570ED" w:rsidRDefault="003570ED" w:rsidP="003570ED">
      <w:pPr>
        <w:pStyle w:val="Standard"/>
        <w:spacing w:before="4" w:line="244" w:lineRule="auto"/>
        <w:ind w:left="240" w:right="206" w:hanging="240"/>
        <w:jc w:val="both"/>
      </w:pPr>
      <w:r>
        <w:rPr>
          <w:color w:val="287CA5"/>
          <w:sz w:val="12"/>
          <w:szCs w:val="12"/>
        </w:rPr>
        <w:t>Laury, A., &amp; Sebranek, J. G. (2007). Use of carbon monoxide combined with carbon di oxide for modified atmosphere packaging of pre- and post-rigor fresh pork sausage to improve shelf life. Journal of Food Protection, 70(4), 937–942</w:t>
      </w:r>
      <w:r>
        <w:rPr>
          <w:color w:val="000000"/>
          <w:sz w:val="12"/>
          <w:szCs w:val="12"/>
        </w:rPr>
        <w:t>.</w:t>
      </w:r>
    </w:p>
    <w:p w14:paraId="0C083D56" w14:textId="77777777" w:rsidR="003570ED" w:rsidRDefault="003570ED" w:rsidP="003570ED">
      <w:pPr>
        <w:pStyle w:val="Standard"/>
        <w:spacing w:before="5" w:line="244" w:lineRule="auto"/>
        <w:ind w:left="238" w:right="216" w:hanging="238"/>
      </w:pPr>
      <w:r>
        <w:rPr>
          <w:color w:val="287CA5"/>
          <w:sz w:val="12"/>
          <w:szCs w:val="12"/>
        </w:rPr>
        <w:t>Lee, C. Y., Fung, D. Y. C., &amp; Kastner, C. L. (1985). Computer-assisted identification of microflora on hot-boned and conventionally processed beef: Effect of moderate and slow chilling rate. Journal of Food Science, 50(3), 553–567</w:t>
      </w:r>
      <w:r>
        <w:rPr>
          <w:color w:val="000000"/>
          <w:sz w:val="12"/>
          <w:szCs w:val="12"/>
        </w:rPr>
        <w:t>.</w:t>
      </w:r>
    </w:p>
    <w:p w14:paraId="3325BC59" w14:textId="77777777" w:rsidR="003570ED" w:rsidRDefault="003570ED" w:rsidP="003570ED">
      <w:pPr>
        <w:pStyle w:val="Standard"/>
        <w:spacing w:before="5" w:line="244" w:lineRule="auto"/>
        <w:ind w:left="234" w:right="191" w:hanging="234"/>
        <w:jc w:val="both"/>
      </w:pPr>
      <w:r>
        <w:rPr>
          <w:color w:val="287CA5"/>
          <w:sz w:val="12"/>
          <w:szCs w:val="12"/>
        </w:rPr>
        <w:t>Lin, H.-S., Topel, D. V. G., &amp; Walker, H. W. (1979). Influence of pre-rigor and post-rigor muscle on the bacteriological and quality characteristics of pork sausage. Journal of Food Science, 44(4), 1055–1057</w:t>
      </w:r>
      <w:r>
        <w:rPr>
          <w:color w:val="000000"/>
          <w:sz w:val="12"/>
          <w:szCs w:val="12"/>
        </w:rPr>
        <w:t>.</w:t>
      </w:r>
    </w:p>
    <w:p w14:paraId="49B76D56" w14:textId="77777777" w:rsidR="003570ED" w:rsidRDefault="003570ED" w:rsidP="003570ED">
      <w:pPr>
        <w:pStyle w:val="Standard"/>
        <w:spacing w:before="4" w:line="247" w:lineRule="auto"/>
        <w:ind w:left="240" w:right="204" w:hanging="240"/>
      </w:pPr>
      <w:r>
        <w:rPr>
          <w:color w:val="287CA5"/>
          <w:sz w:val="12"/>
          <w:szCs w:val="12"/>
        </w:rPr>
        <w:t>Mackey, B. M., Roberts, T. A., Mansfield, J., &amp; Farkas, G. (1980). Growth of Salmonella on chilled meat. Epidemiology and Infection, 85(1), 115–124</w:t>
      </w:r>
      <w:r>
        <w:rPr>
          <w:color w:val="000000"/>
          <w:sz w:val="12"/>
          <w:szCs w:val="12"/>
        </w:rPr>
        <w:t>.</w:t>
      </w:r>
    </w:p>
    <w:p w14:paraId="1CEA4F44" w14:textId="77777777" w:rsidR="003570ED" w:rsidRDefault="003570ED" w:rsidP="003570ED">
      <w:pPr>
        <w:pStyle w:val="Standard"/>
        <w:spacing w:before="5" w:line="244" w:lineRule="auto"/>
        <w:ind w:left="240" w:right="219" w:hanging="240"/>
      </w:pPr>
      <w:r>
        <w:rPr>
          <w:color w:val="287CA5"/>
          <w:sz w:val="12"/>
          <w:szCs w:val="12"/>
        </w:rPr>
        <w:t>Marsden, J. L. (1980). Sodium containing additives in processed meats: A technological overview. Sodium and potassium in American foods, Washington, DC (USA), 2–3 Nov 1978. American Medical Association</w:t>
      </w:r>
      <w:r>
        <w:rPr>
          <w:color w:val="000000"/>
          <w:sz w:val="12"/>
          <w:szCs w:val="12"/>
        </w:rPr>
        <w:t>.</w:t>
      </w:r>
    </w:p>
    <w:p w14:paraId="63EFA111" w14:textId="77777777" w:rsidR="003570ED" w:rsidRDefault="003570ED" w:rsidP="003570ED">
      <w:pPr>
        <w:pStyle w:val="Standard"/>
        <w:spacing w:before="4" w:line="247" w:lineRule="auto"/>
        <w:ind w:left="238" w:right="204" w:hanging="238"/>
      </w:pPr>
      <w:r>
        <w:rPr>
          <w:color w:val="287CA5"/>
          <w:sz w:val="12"/>
          <w:szCs w:val="12"/>
        </w:rPr>
        <w:t>Matthews, K., &amp; Strong, M. (2005). Salt–its role in meat products and the industry's action plan to reduce it. Nutrition Bulletin, 30(1), 55–61</w:t>
      </w:r>
      <w:r>
        <w:rPr>
          <w:color w:val="000000"/>
          <w:sz w:val="12"/>
          <w:szCs w:val="12"/>
        </w:rPr>
        <w:t>.</w:t>
      </w:r>
    </w:p>
    <w:p w14:paraId="7B03004F" w14:textId="77777777" w:rsidR="003570ED" w:rsidRDefault="003570ED" w:rsidP="003570ED">
      <w:pPr>
        <w:pStyle w:val="Standard"/>
        <w:spacing w:before="4" w:line="247" w:lineRule="auto"/>
        <w:ind w:left="239" w:right="225" w:hanging="239"/>
      </w:pPr>
      <w:r>
        <w:rPr>
          <w:color w:val="287CA5"/>
          <w:sz w:val="12"/>
          <w:szCs w:val="12"/>
        </w:rPr>
        <w:t>Mattila-Sandholm, T., &amp; Skytta, E. (1991). The effect of spoilage flora on the growth of food pathogens in minced meat stored at chilled temperature. Lebensmittel Wissenschaft+ Technologie, 24(2), 116–120</w:t>
      </w:r>
      <w:r>
        <w:rPr>
          <w:color w:val="000000"/>
          <w:sz w:val="12"/>
          <w:szCs w:val="12"/>
        </w:rPr>
        <w:t>.</w:t>
      </w:r>
    </w:p>
    <w:p w14:paraId="3D2FCF8F" w14:textId="77777777" w:rsidR="003570ED" w:rsidRDefault="003570ED" w:rsidP="003570ED">
      <w:pPr>
        <w:pStyle w:val="Standard"/>
        <w:spacing w:before="4" w:line="247" w:lineRule="auto"/>
        <w:ind w:right="193"/>
        <w:jc w:val="center"/>
      </w:pPr>
      <w:r>
        <w:rPr>
          <w:color w:val="287CA5"/>
          <w:sz w:val="12"/>
          <w:szCs w:val="12"/>
        </w:rPr>
        <w:t>McCain, A. K., Vu, P. T. T., Mai, N. T., Le, M. V. V., Nguyen, D. H., Broadway, P. R., ... Dinh, T. T. N. (2015). Influence of market setting and time of purchase on counts of aerobic bacteria, Escherichia coli, and coliform and prevalence of Salmonella and Listeria in beef in Vietnam. Agriculture, Food &amp; Analytical Bacteriology, 5(3), 166–182</w:t>
      </w:r>
      <w:r>
        <w:rPr>
          <w:color w:val="000000"/>
          <w:sz w:val="12"/>
          <w:szCs w:val="12"/>
        </w:rPr>
        <w:t>.</w:t>
      </w:r>
    </w:p>
    <w:p w14:paraId="6E3A7A56" w14:textId="77777777" w:rsidR="003570ED" w:rsidRDefault="003570ED" w:rsidP="003570ED">
      <w:pPr>
        <w:pStyle w:val="Standard"/>
        <w:spacing w:before="5" w:line="244" w:lineRule="auto"/>
        <w:ind w:right="205"/>
      </w:pPr>
      <w:r>
        <w:rPr>
          <w:color w:val="287CA5"/>
          <w:sz w:val="12"/>
          <w:szCs w:val="12"/>
        </w:rPr>
        <w:t>Morbach, S., &amp; Krämer, R. (2002). Body shaping under water stress: osmosensing and osmoregulation of solute transport in bacteria. Chembiochem, 3(5), 384–397</w:t>
      </w:r>
      <w:r>
        <w:rPr>
          <w:color w:val="000000"/>
          <w:sz w:val="12"/>
          <w:szCs w:val="12"/>
        </w:rPr>
        <w:t xml:space="preserve">. </w:t>
      </w:r>
      <w:r>
        <w:rPr>
          <w:color w:val="287CA5"/>
          <w:sz w:val="12"/>
          <w:szCs w:val="12"/>
        </w:rPr>
        <w:t>Nguyen, N. V. L., Rigalma, K., Coroller, L., Dadure, R., Debaets, S., Mounier, J., &amp; Vasseur, V. (2017). Modelling the effect of water activity reduction by sodium chloride or glycerol on conidial germination and radial growth of filamentous fungi encountered in dairy foods. Food Microbiology, 68, 7–15</w:t>
      </w:r>
      <w:r>
        <w:rPr>
          <w:color w:val="000000"/>
          <w:sz w:val="12"/>
          <w:szCs w:val="12"/>
        </w:rPr>
        <w:t>.</w:t>
      </w:r>
    </w:p>
    <w:p w14:paraId="547429D4" w14:textId="77777777" w:rsidR="003570ED" w:rsidRDefault="003570ED" w:rsidP="003570ED">
      <w:pPr>
        <w:pStyle w:val="Standard"/>
        <w:spacing w:before="5" w:line="244" w:lineRule="auto"/>
        <w:ind w:left="233" w:right="193" w:hanging="233"/>
      </w:pPr>
      <w:r>
        <w:rPr>
          <w:color w:val="287CA5"/>
          <w:sz w:val="12"/>
          <w:szCs w:val="12"/>
        </w:rPr>
        <w:t>Noor, S., Radhakrishnan, N. S., &amp; Hussain, K. (2016). Sausage formulations and effects of addition of different non-meat ingredients on sausages - a review. International Journal of Livestock Research, 6(12), 1–19</w:t>
      </w:r>
      <w:r>
        <w:rPr>
          <w:color w:val="000000"/>
          <w:sz w:val="12"/>
          <w:szCs w:val="12"/>
        </w:rPr>
        <w:t>.</w:t>
      </w:r>
    </w:p>
    <w:p w14:paraId="07759C23" w14:textId="77777777" w:rsidR="003570ED" w:rsidRDefault="003570ED" w:rsidP="003570ED">
      <w:pPr>
        <w:pStyle w:val="Standard"/>
        <w:spacing w:before="5" w:line="244" w:lineRule="auto"/>
        <w:ind w:left="1" w:right="203"/>
        <w:jc w:val="center"/>
      </w:pPr>
      <w:r>
        <w:rPr>
          <w:color w:val="287CA5"/>
          <w:sz w:val="12"/>
          <w:szCs w:val="12"/>
        </w:rPr>
        <w:t>Oblinger, J. L., Kennedy Jr, J. E., &amp; West, R. L. (1984). Effect of subjective condition of beef quarters on the microbiology and storage stability of vacuum-packaged clods</w:t>
      </w:r>
    </w:p>
    <w:p w14:paraId="45F39054" w14:textId="77777777" w:rsidR="003570ED" w:rsidRDefault="003570ED" w:rsidP="003570ED">
      <w:pPr>
        <w:pStyle w:val="Standard"/>
        <w:spacing w:before="14016" w:line="240" w:lineRule="auto"/>
      </w:pPr>
      <w:r>
        <w:rPr>
          <w:color w:val="000000"/>
          <w:sz w:val="12"/>
          <w:szCs w:val="12"/>
        </w:rPr>
        <w:lastRenderedPageBreak/>
        <w:t>55</w:t>
      </w:r>
    </w:p>
    <w:p w14:paraId="2BF4C766" w14:textId="77777777" w:rsidR="003570ED" w:rsidRDefault="003570ED" w:rsidP="003570ED">
      <w:pPr>
        <w:pStyle w:val="Standard"/>
        <w:spacing w:line="244" w:lineRule="auto"/>
        <w:ind w:left="162" w:right="150" w:firstLine="238"/>
      </w:pPr>
      <w:r>
        <w:rPr>
          <w:color w:val="287CA5"/>
          <w:sz w:val="12"/>
          <w:szCs w:val="12"/>
        </w:rPr>
        <w:t>and ground beef patties. Journal of Food Protection, 47(6), 449–452</w:t>
      </w:r>
      <w:r>
        <w:rPr>
          <w:color w:val="000000"/>
          <w:sz w:val="12"/>
          <w:szCs w:val="12"/>
        </w:rPr>
        <w:t xml:space="preserve">. </w:t>
      </w:r>
      <w:r>
        <w:rPr>
          <w:color w:val="287CA5"/>
          <w:sz w:val="12"/>
          <w:szCs w:val="12"/>
        </w:rPr>
        <w:t>O'Connor, P. L., Brewer, M. S., McKeith, F. K., Novakofski, J. E., &amp; Carr, T. R. (1993). Sodium lactate/sodium chloride effects on sensory characteristics and shelf-life of fresh ground pork. Journal of Food Science, 58(978–980), 986</w:t>
      </w:r>
      <w:r>
        <w:rPr>
          <w:color w:val="000000"/>
          <w:sz w:val="12"/>
          <w:szCs w:val="12"/>
        </w:rPr>
        <w:t>.</w:t>
      </w:r>
    </w:p>
    <w:p w14:paraId="68926892" w14:textId="77777777" w:rsidR="003570ED" w:rsidRDefault="003570ED" w:rsidP="003570ED">
      <w:pPr>
        <w:pStyle w:val="Standard"/>
        <w:spacing w:before="6" w:line="244" w:lineRule="auto"/>
        <w:ind w:left="399" w:right="46" w:hanging="237"/>
      </w:pPr>
      <w:r>
        <w:rPr>
          <w:color w:val="287CA5"/>
          <w:sz w:val="12"/>
          <w:szCs w:val="12"/>
        </w:rPr>
        <w:t>Omer, M. K., Alvseike, O., Holck, A., Axelsson, L., Prieto, M., Skjerve, E., &amp; Heir, E. (2010). Application of high pressure processing to reduce verotoxigenic E. coli in two types of dry-fermented sausage. Meat Science, 86(4), 1005–1009</w:t>
      </w:r>
      <w:r>
        <w:rPr>
          <w:color w:val="000000"/>
          <w:sz w:val="12"/>
          <w:szCs w:val="12"/>
        </w:rPr>
        <w:t>.</w:t>
      </w:r>
    </w:p>
    <w:p w14:paraId="53C2A50B" w14:textId="77777777" w:rsidR="003570ED" w:rsidRDefault="003570ED" w:rsidP="003570ED">
      <w:pPr>
        <w:pStyle w:val="Standard"/>
        <w:spacing w:before="5" w:line="244" w:lineRule="auto"/>
        <w:ind w:left="393" w:right="33" w:hanging="233"/>
      </w:pPr>
      <w:r>
        <w:rPr>
          <w:color w:val="287CA5"/>
          <w:sz w:val="12"/>
          <w:szCs w:val="12"/>
        </w:rPr>
        <w:t>Phillips, D., Jordan, D., Morris, S., Jenson, I., &amp; Sumner, J. (2006). A national survey of the microbiological quality of beef carcasses and frozen boneless beef in Australia. Journal of Food Protection, 69(5), 1113–1117</w:t>
      </w:r>
      <w:r>
        <w:rPr>
          <w:color w:val="000000"/>
          <w:sz w:val="12"/>
          <w:szCs w:val="12"/>
        </w:rPr>
        <w:t>.</w:t>
      </w:r>
    </w:p>
    <w:p w14:paraId="6D42886F" w14:textId="77777777" w:rsidR="003570ED" w:rsidRDefault="003570ED" w:rsidP="003570ED">
      <w:pPr>
        <w:pStyle w:val="Standard"/>
        <w:spacing w:before="4" w:line="247" w:lineRule="auto"/>
        <w:ind w:left="406" w:right="238" w:hanging="245"/>
      </w:pPr>
      <w:r>
        <w:rPr>
          <w:color w:val="287CA5"/>
          <w:sz w:val="12"/>
          <w:szCs w:val="12"/>
        </w:rPr>
        <w:t>Pisula, A., &amp; Tyburcy, A. (1996). Hot processing of meat. Meat Science, 43(Suppl. 1), 125–134</w:t>
      </w:r>
      <w:r>
        <w:rPr>
          <w:color w:val="000000"/>
          <w:sz w:val="12"/>
          <w:szCs w:val="12"/>
        </w:rPr>
        <w:t>.</w:t>
      </w:r>
    </w:p>
    <w:p w14:paraId="2C790AAE" w14:textId="77777777" w:rsidR="003570ED" w:rsidRDefault="003570ED" w:rsidP="003570ED">
      <w:pPr>
        <w:pStyle w:val="Standard"/>
        <w:spacing w:before="5" w:line="244" w:lineRule="auto"/>
        <w:ind w:left="398" w:right="117" w:hanging="238"/>
      </w:pPr>
      <w:r>
        <w:rPr>
          <w:color w:val="287CA5"/>
          <w:sz w:val="12"/>
          <w:szCs w:val="12"/>
        </w:rPr>
        <w:t>Plemenitaš, A., Lenassi, M., Konte, T., Kejžar, A., Zajc, J., Gostinčar, C., &amp; Gunde Cimerman, N. (2014). Adaptation to high salt concentrations in halotolerant/halo philic fungi: A molecular perspective. Frontiers in Microbiology, 5</w:t>
      </w:r>
      <w:r>
        <w:rPr>
          <w:color w:val="000000"/>
          <w:sz w:val="12"/>
          <w:szCs w:val="12"/>
        </w:rPr>
        <w:t>.</w:t>
      </w:r>
    </w:p>
    <w:p w14:paraId="3A9B6E88" w14:textId="77777777" w:rsidR="003570ED" w:rsidRDefault="003570ED" w:rsidP="003570ED">
      <w:pPr>
        <w:pStyle w:val="Standard"/>
        <w:spacing w:before="4" w:line="247" w:lineRule="auto"/>
        <w:ind w:left="398" w:right="52" w:hanging="238"/>
      </w:pPr>
      <w:r>
        <w:rPr>
          <w:color w:val="287CA5"/>
          <w:sz w:val="12"/>
          <w:szCs w:val="12"/>
        </w:rPr>
        <w:t>Pohlman, F. W., Dias-Morse, P. N., Quilo, S. A., Brown, A. H., Crandall, P. G., Baublits, R. T., ... Rajaratnam, G. (2009). Microbial, instrumental color and sensory character istics of ground beef processed from beef trimmings treated with potassium lactate, sodium metasilicate, peroxyacetic acid or acidified sodium chlorite as single anti microbial interventions. Journal of Muscle Foods, 20(1), 54–69</w:t>
      </w:r>
      <w:r>
        <w:rPr>
          <w:color w:val="000000"/>
          <w:sz w:val="12"/>
          <w:szCs w:val="12"/>
        </w:rPr>
        <w:t>.</w:t>
      </w:r>
    </w:p>
    <w:p w14:paraId="77EC2F85" w14:textId="77777777" w:rsidR="003570ED" w:rsidRDefault="003570ED" w:rsidP="003570ED">
      <w:pPr>
        <w:pStyle w:val="Standard"/>
        <w:spacing w:before="4" w:line="247" w:lineRule="auto"/>
        <w:ind w:left="160" w:right="45"/>
      </w:pPr>
      <w:r>
        <w:rPr>
          <w:color w:val="287CA5"/>
          <w:sz w:val="12"/>
          <w:szCs w:val="12"/>
        </w:rPr>
        <w:t>Pothakos, V., Devlieghere, F., Villani, F., Björkroth, J., &amp; Ercolini, D. (2015). Lactic acid bacteria and their controversial role in fresh meat spoilage. Meat Science, 109, 66–74</w:t>
      </w:r>
      <w:r>
        <w:rPr>
          <w:color w:val="000000"/>
          <w:sz w:val="12"/>
          <w:szCs w:val="12"/>
        </w:rPr>
        <w:t xml:space="preserve">. </w:t>
      </w:r>
      <w:r>
        <w:rPr>
          <w:color w:val="287CA5"/>
          <w:sz w:val="12"/>
          <w:szCs w:val="12"/>
        </w:rPr>
        <w:t>Reid, R., Fanning, S., Whyte, P., Kerry, J., &amp; Bolton, D. (2017). The fate of Salmonella Typhimurium and Escherichia coli O157 on hot boned versus conventionally chilled beef. Meat Science, 126, 50–54</w:t>
      </w:r>
      <w:r>
        <w:rPr>
          <w:color w:val="000000"/>
          <w:sz w:val="12"/>
          <w:szCs w:val="12"/>
        </w:rPr>
        <w:t>.</w:t>
      </w:r>
    </w:p>
    <w:p w14:paraId="3AE7F289" w14:textId="77777777" w:rsidR="003570ED" w:rsidRDefault="003570ED" w:rsidP="003570ED">
      <w:pPr>
        <w:pStyle w:val="Standard"/>
        <w:spacing w:before="4" w:line="244" w:lineRule="auto"/>
        <w:ind w:left="394" w:right="111" w:hanging="233"/>
      </w:pPr>
      <w:r>
        <w:rPr>
          <w:color w:val="287CA5"/>
          <w:sz w:val="12"/>
          <w:szCs w:val="12"/>
        </w:rPr>
        <w:t>Reitsma, C. J., &amp; Henning, D. R. (1996). Survival of enterohemorrhagic Escherichia coli O157: H7 during the manufacture and curing of cheddar cheese. Journal of Food Protection, 59(5), 460–464</w:t>
      </w:r>
      <w:r>
        <w:rPr>
          <w:color w:val="000000"/>
          <w:sz w:val="12"/>
          <w:szCs w:val="12"/>
        </w:rPr>
        <w:t>.</w:t>
      </w:r>
    </w:p>
    <w:p w14:paraId="6F5036ED" w14:textId="77777777" w:rsidR="003570ED" w:rsidRDefault="003570ED" w:rsidP="003570ED">
      <w:pPr>
        <w:pStyle w:val="Standard"/>
        <w:spacing w:before="5" w:line="244" w:lineRule="auto"/>
        <w:ind w:left="397" w:right="109" w:hanging="236"/>
        <w:jc w:val="both"/>
      </w:pPr>
      <w:r>
        <w:rPr>
          <w:color w:val="287CA5"/>
          <w:sz w:val="12"/>
          <w:szCs w:val="12"/>
        </w:rPr>
        <w:t>Rhoades, J. R., Duffy, G., &amp; Koutsoumanis, K. (2009). Prevalence and concentration of verocytotoxigenic Escherichia coli, Salmonella enterica and Listeria monocytogenes in the beef production chain: A review. Food Microbiology, 26(4), 357–376</w:t>
      </w:r>
      <w:r>
        <w:rPr>
          <w:color w:val="000000"/>
          <w:sz w:val="12"/>
          <w:szCs w:val="12"/>
        </w:rPr>
        <w:t>.</w:t>
      </w:r>
    </w:p>
    <w:p w14:paraId="73581509" w14:textId="77777777" w:rsidR="003570ED" w:rsidRDefault="003570ED" w:rsidP="003570ED">
      <w:pPr>
        <w:pStyle w:val="Standard"/>
        <w:spacing w:before="5" w:line="244" w:lineRule="auto"/>
        <w:ind w:left="162" w:right="45"/>
        <w:jc w:val="right"/>
      </w:pPr>
      <w:r>
        <w:rPr>
          <w:color w:val="287CA5"/>
          <w:sz w:val="12"/>
          <w:szCs w:val="12"/>
        </w:rPr>
        <w:t>Sachindra, N. M., Sakhare, P. Z., Yashoda, K. P., &amp; Narasimha Rao, D. (2005). Microbial profile of buffalo sausage during processing and storage. Food Control, 16(1), 31–35</w:t>
      </w:r>
      <w:r>
        <w:rPr>
          <w:color w:val="000000"/>
          <w:sz w:val="12"/>
          <w:szCs w:val="12"/>
        </w:rPr>
        <w:t xml:space="preserve">. </w:t>
      </w:r>
      <w:r>
        <w:rPr>
          <w:color w:val="287CA5"/>
          <w:sz w:val="12"/>
          <w:szCs w:val="12"/>
        </w:rPr>
        <w:t>Samelis, J., Kakouri, A., &amp; Rementzis, J. (2000). Selective effect of the product type and the packaging conditions on the species of lactic acid bacteria dominating the spoi</w:t>
      </w:r>
    </w:p>
    <w:p w14:paraId="152BECB0" w14:textId="77777777" w:rsidR="003570ED" w:rsidRDefault="003570ED" w:rsidP="003570ED">
      <w:pPr>
        <w:pStyle w:val="Standard"/>
        <w:spacing w:before="6" w:line="247" w:lineRule="auto"/>
        <w:ind w:left="402" w:right="473" w:hanging="2"/>
      </w:pPr>
      <w:r>
        <w:rPr>
          <w:color w:val="287CA5"/>
          <w:sz w:val="12"/>
          <w:szCs w:val="12"/>
        </w:rPr>
        <w:t>lage microbial association of cooked meats at 4 °C. Food Microbiology, 17(3), 329–340</w:t>
      </w:r>
      <w:r>
        <w:rPr>
          <w:color w:val="000000"/>
          <w:sz w:val="12"/>
          <w:szCs w:val="12"/>
        </w:rPr>
        <w:t>.</w:t>
      </w:r>
    </w:p>
    <w:p w14:paraId="5123DD80" w14:textId="77777777" w:rsidR="003570ED" w:rsidRDefault="003570ED" w:rsidP="003570ED">
      <w:pPr>
        <w:pStyle w:val="Standard"/>
        <w:spacing w:before="4" w:line="247" w:lineRule="auto"/>
        <w:ind w:left="394" w:right="104" w:hanging="232"/>
      </w:pPr>
      <w:r>
        <w:rPr>
          <w:color w:val="287CA5"/>
          <w:sz w:val="12"/>
          <w:szCs w:val="12"/>
        </w:rPr>
        <w:t>Scott, T. M., Parveen, S., Portier, K. M., Rose, J. B., Tamplin, M. L., Farrah, S. R., ... Lukasik, J. (2003). Geographical variation in ribotype profiles of Escherichia coli isolates from humans, swine, poultry, beef, and dairy cattle in Florida. Applied and Environmental Microbiology, 69(2), 1089–1092</w:t>
      </w:r>
      <w:r>
        <w:rPr>
          <w:color w:val="000000"/>
          <w:sz w:val="12"/>
          <w:szCs w:val="12"/>
        </w:rPr>
        <w:t>.</w:t>
      </w:r>
    </w:p>
    <w:p w14:paraId="67F54EDD" w14:textId="77777777" w:rsidR="003570ED" w:rsidRDefault="003570ED" w:rsidP="003570ED">
      <w:pPr>
        <w:pStyle w:val="Standard"/>
        <w:spacing w:before="5" w:line="244" w:lineRule="auto"/>
        <w:ind w:left="394" w:right="110" w:hanging="232"/>
      </w:pPr>
      <w:r>
        <w:rPr>
          <w:color w:val="287CA5"/>
          <w:sz w:val="12"/>
          <w:szCs w:val="12"/>
        </w:rPr>
        <w:t>Scott, W. J. (1957). Water relations of food spoilage microorganisms. Advances in Food Research, 7, 83–127</w:t>
      </w:r>
      <w:r>
        <w:rPr>
          <w:color w:val="000000"/>
          <w:sz w:val="12"/>
          <w:szCs w:val="12"/>
        </w:rPr>
        <w:t>.</w:t>
      </w:r>
    </w:p>
    <w:p w14:paraId="48DF6C8B" w14:textId="77777777" w:rsidR="003570ED" w:rsidRDefault="003570ED" w:rsidP="003570ED">
      <w:pPr>
        <w:pStyle w:val="Standard"/>
        <w:spacing w:before="6" w:line="244" w:lineRule="auto"/>
        <w:ind w:left="398" w:right="44" w:hanging="236"/>
      </w:pPr>
      <w:r>
        <w:rPr>
          <w:color w:val="287CA5"/>
          <w:sz w:val="12"/>
          <w:szCs w:val="12"/>
        </w:rPr>
        <w:t>Smulders, F. J. M., &amp; Woolthuis, C. H. J. (1985). Immediate and delayed microbiological effects of lactic acid decontamination of calf carcasses - influence on conventionally boned versus hot-boned and vacuum-packaged cuts. Journal of Food Protection, 48(10), 838–847</w:t>
      </w:r>
      <w:r>
        <w:rPr>
          <w:color w:val="000000"/>
          <w:sz w:val="12"/>
          <w:szCs w:val="12"/>
        </w:rPr>
        <w:t>.</w:t>
      </w:r>
    </w:p>
    <w:p w14:paraId="3E53FECA" w14:textId="77777777" w:rsidR="003570ED" w:rsidRDefault="003570ED" w:rsidP="003570ED">
      <w:pPr>
        <w:pStyle w:val="Standard"/>
        <w:spacing w:before="6" w:line="247" w:lineRule="auto"/>
        <w:ind w:left="393" w:right="149" w:hanging="231"/>
      </w:pPr>
      <w:r>
        <w:rPr>
          <w:color w:val="287CA5"/>
          <w:sz w:val="12"/>
          <w:szCs w:val="12"/>
        </w:rPr>
        <w:t>Sofos, J. N. (1984). Antimicrobial effects of sodium and other ions in foods: A review. Journal of Food Safety, 6(1), 45–78</w:t>
      </w:r>
      <w:r>
        <w:rPr>
          <w:color w:val="000000"/>
          <w:sz w:val="12"/>
          <w:szCs w:val="12"/>
        </w:rPr>
        <w:t>.</w:t>
      </w:r>
    </w:p>
    <w:p w14:paraId="3762739C" w14:textId="77777777" w:rsidR="003570ED" w:rsidRDefault="003570ED" w:rsidP="003570ED">
      <w:pPr>
        <w:pStyle w:val="Standard"/>
        <w:spacing w:before="4" w:line="244" w:lineRule="auto"/>
        <w:ind w:left="395" w:right="60" w:hanging="233"/>
      </w:pPr>
      <w:r>
        <w:rPr>
          <w:color w:val="287CA5"/>
          <w:sz w:val="12"/>
          <w:szCs w:val="12"/>
        </w:rPr>
        <w:t>Sorheim, O., Uglem, S., Lea, P., Claus, J. R., &amp; Egelandsdal, B. (2006). Functional prop erties of pre-rigor, pre-salted ground beef chilled with solid carbon dioxide. Meat Science, 73(3), 459–466</w:t>
      </w:r>
      <w:r>
        <w:rPr>
          <w:color w:val="000000"/>
          <w:sz w:val="12"/>
          <w:szCs w:val="12"/>
        </w:rPr>
        <w:t>.</w:t>
      </w:r>
    </w:p>
    <w:p w14:paraId="56F9F48C" w14:textId="77777777" w:rsidR="003570ED" w:rsidRDefault="003570ED" w:rsidP="003570ED">
      <w:pPr>
        <w:pStyle w:val="Standard"/>
        <w:spacing w:before="5" w:line="244" w:lineRule="auto"/>
        <w:ind w:left="159" w:right="49" w:hanging="1"/>
      </w:pPr>
      <w:r>
        <w:rPr>
          <w:color w:val="287CA5"/>
          <w:sz w:val="12"/>
          <w:szCs w:val="12"/>
        </w:rPr>
        <w:t>Tyopponen, S., Petaja, E., &amp; Mattila-Sandholm, T. (2003). Bioprotectives and probiotics for dry sausages. International Journal of Food Microbiology, 83(3), 233–244</w:t>
      </w:r>
      <w:r>
        <w:rPr>
          <w:color w:val="000000"/>
          <w:sz w:val="12"/>
          <w:szCs w:val="12"/>
        </w:rPr>
        <w:t xml:space="preserve">. United States Department of Agriculture/Food Safety and Inspection Service (USDA/FSIS) (2017). FSIS compliance guideline for minimizing the risk of Shiga-toxin producing Escherichia coli (STEC) and Salmonella in beef (including veal) slaughter operations 2017. Accessed at </w:t>
      </w:r>
      <w:r>
        <w:rPr>
          <w:color w:val="287CA5"/>
          <w:sz w:val="12"/>
          <w:szCs w:val="12"/>
        </w:rPr>
        <w:t xml:space="preserve">www.fsis.usda.gov </w:t>
      </w:r>
      <w:r>
        <w:rPr>
          <w:color w:val="000000"/>
          <w:sz w:val="12"/>
          <w:szCs w:val="12"/>
        </w:rPr>
        <w:t>(Accessed on Jan 15, 2018) .</w:t>
      </w:r>
    </w:p>
    <w:p w14:paraId="4E2786A2" w14:textId="77777777" w:rsidR="003570ED" w:rsidRDefault="003570ED" w:rsidP="003570ED">
      <w:pPr>
        <w:pStyle w:val="Standard"/>
        <w:spacing w:before="4" w:line="247" w:lineRule="auto"/>
        <w:ind w:left="399" w:right="46" w:hanging="241"/>
        <w:jc w:val="both"/>
      </w:pPr>
      <w:r>
        <w:rPr>
          <w:color w:val="287CA5"/>
          <w:sz w:val="12"/>
          <w:szCs w:val="12"/>
        </w:rPr>
        <w:t>Van Laack, R. L. J. M., &amp; Smulders, F. J. M. (1989). The effect of electrical stimulation, time of boning and high temperature conditioning on sensory quality traits of porcine longissimus dorsi muscle. Meat Science, 25(2), 113–121</w:t>
      </w:r>
      <w:r>
        <w:rPr>
          <w:color w:val="000000"/>
          <w:sz w:val="12"/>
          <w:szCs w:val="12"/>
        </w:rPr>
        <w:t>.</w:t>
      </w:r>
    </w:p>
    <w:p w14:paraId="5D64E4A5" w14:textId="77777777" w:rsidR="003570ED" w:rsidRDefault="003570ED" w:rsidP="003570ED">
      <w:pPr>
        <w:pStyle w:val="Standard"/>
        <w:spacing w:before="4" w:line="244" w:lineRule="auto"/>
        <w:ind w:left="397" w:right="77" w:hanging="239"/>
      </w:pPr>
      <w:r>
        <w:rPr>
          <w:color w:val="287CA5"/>
          <w:sz w:val="12"/>
          <w:szCs w:val="12"/>
        </w:rPr>
        <w:t>Van Laack, R. L. J. M., &amp; Smulders, F. J. M. (1991). Microbiological condition of re structured steaks prepared from pre- and post-rigor beef. Journal of Food Protection, 54(5), 357–359</w:t>
      </w:r>
      <w:r>
        <w:rPr>
          <w:color w:val="000000"/>
          <w:sz w:val="12"/>
          <w:szCs w:val="12"/>
        </w:rPr>
        <w:t>.</w:t>
      </w:r>
    </w:p>
    <w:p w14:paraId="02A46816" w14:textId="77777777" w:rsidR="003570ED" w:rsidRDefault="003570ED" w:rsidP="003570ED">
      <w:pPr>
        <w:pStyle w:val="Standard"/>
        <w:spacing w:before="5" w:line="244" w:lineRule="auto"/>
        <w:ind w:left="395" w:right="47" w:hanging="237"/>
      </w:pPr>
      <w:r>
        <w:rPr>
          <w:color w:val="287CA5"/>
          <w:sz w:val="12"/>
          <w:szCs w:val="12"/>
        </w:rPr>
        <w:t>Wang, P., Xu, X.-L., &amp; Zhou, G. H. (2009). Effects of meat and phosphate level on water holding capacity and texture of emulsion-type sausage during storage. Agricultural Sciences in China, 8(12), 1475–1481</w:t>
      </w:r>
      <w:r>
        <w:rPr>
          <w:color w:val="000000"/>
          <w:sz w:val="12"/>
          <w:szCs w:val="12"/>
        </w:rPr>
        <w:t>.</w:t>
      </w:r>
    </w:p>
    <w:p w14:paraId="7839B4CF" w14:textId="77777777" w:rsidR="003570ED" w:rsidRDefault="003570ED" w:rsidP="003570ED">
      <w:pPr>
        <w:pStyle w:val="Standard"/>
        <w:spacing w:before="5" w:line="244" w:lineRule="auto"/>
        <w:ind w:left="395" w:right="33" w:hanging="237"/>
      </w:pPr>
      <w:r>
        <w:rPr>
          <w:color w:val="287CA5"/>
          <w:sz w:val="12"/>
          <w:szCs w:val="12"/>
        </w:rPr>
        <w:t>Weissinger, W. R., Chantarapanont, W., &amp; Beuchat, L. R. (2000). Survival and growth of Salmonella baildon in shredded lettuce and diced tomatoes, and effectiveness of chlorinated water as a sanitizer. International Journal of Food Microbiology, 62(1–2), 123–131</w:t>
      </w:r>
      <w:r>
        <w:rPr>
          <w:color w:val="000000"/>
          <w:sz w:val="12"/>
          <w:szCs w:val="12"/>
        </w:rPr>
        <w:t>.</w:t>
      </w:r>
    </w:p>
    <w:p w14:paraId="58DA5878" w14:textId="77777777" w:rsidR="003570ED" w:rsidRDefault="003570ED" w:rsidP="003570ED">
      <w:pPr>
        <w:pStyle w:val="Standard"/>
        <w:spacing w:before="6" w:line="247" w:lineRule="auto"/>
        <w:ind w:left="394" w:right="114" w:hanging="236"/>
      </w:pPr>
      <w:r>
        <w:rPr>
          <w:color w:val="287CA5"/>
          <w:sz w:val="12"/>
          <w:szCs w:val="12"/>
        </w:rPr>
        <w:t>Winkler, J. D., Garcia, C., Olson, M., Callaway, E., &amp; Kao, K. C. (2014). Evolved osmo tolerant Escherichia coli mutants frequently exhibit defective N-acetylglucosamine catabolism and point mutations in cell shape-regulating protein MreB. Applied and Environmental Microbiology, 80(12), 3729–3740</w:t>
      </w:r>
      <w:r>
        <w:rPr>
          <w:color w:val="000000"/>
          <w:sz w:val="12"/>
          <w:szCs w:val="12"/>
        </w:rPr>
        <w:t>.</w:t>
      </w:r>
    </w:p>
    <w:p w14:paraId="4B80DA52" w14:textId="77777777" w:rsidR="00224117" w:rsidRDefault="00224117"/>
    <w:sectPr w:rsidR="00224117">
      <w:type w:val="continuous"/>
      <w:pgSz w:w="11906" w:h="15860"/>
      <w:pgMar w:top="711" w:right="742" w:bottom="554" w:left="745" w:header="720" w:footer="720" w:gutter="0"/>
      <w:pgNumType w:start="1"/>
      <w:cols w:num="2" w:space="720" w:equalWidth="0">
        <w:col w:w="5210" w:space="0"/>
        <w:col w:w="5209"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0ED"/>
    <w:rsid w:val="00224117"/>
    <w:rsid w:val="0035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80FF"/>
  <w15:chartTrackingRefBased/>
  <w15:docId w15:val="{3F375EAD-F01D-4C2E-A510-5B13186B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0ED"/>
    <w:pPr>
      <w:suppressAutoHyphens/>
      <w:autoSpaceDN w:val="0"/>
      <w:spacing w:after="0" w:line="240" w:lineRule="auto"/>
      <w:textAlignment w:val="baseline"/>
    </w:pPr>
    <w:rPr>
      <w:rFonts w:ascii="Arial" w:eastAsia="Arial" w:hAnsi="Arial" w:cs="Arial"/>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3570ED"/>
    <w:pPr>
      <w:widowControl w:val="0"/>
      <w:suppressAutoHyphens/>
      <w:autoSpaceDN w:val="0"/>
      <w:spacing w:after="0" w:line="276" w:lineRule="auto"/>
      <w:textAlignment w:val="baseline"/>
    </w:pPr>
    <w:rPr>
      <w:rFonts w:ascii="Arial" w:eastAsia="Arial" w:hAnsi="Arial" w:cs="Arial"/>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7192</Words>
  <Characters>41001</Characters>
  <Application>Microsoft Office Word</Application>
  <DocSecurity>0</DocSecurity>
  <Lines>341</Lines>
  <Paragraphs>96</Paragraphs>
  <ScaleCrop>false</ScaleCrop>
  <Company/>
  <LinksUpToDate>false</LinksUpToDate>
  <CharactersWithSpaces>48097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ostavia cintron</dc:creator>
  <cp:keywords/>
  <dc:description/>
  <cp:lastModifiedBy>ostavia cintron</cp:lastModifiedBy>
  <cp:revision>1</cp:revision>
  <dcterms:created xsi:type="dcterms:W3CDTF">2020-11-19T15:49:00Z</dcterms:created>
  <dcterms:modified xsi:type="dcterms:W3CDTF">2020-11-19T15:50:00Z</dcterms:modified>
</cp:coreProperties>
</file>